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9888" w14:textId="77777777" w:rsidR="0002732C" w:rsidRPr="0002732C" w:rsidRDefault="0002732C" w:rsidP="0002732C">
      <w:pPr>
        <w:spacing w:before="200" w:after="200"/>
        <w:jc w:val="center"/>
        <w:rPr>
          <w:rFonts w:ascii="Gilroy" w:eastAsia="Arial" w:hAnsi="Gilroy" w:cs="Arial"/>
          <w:b/>
          <w:bCs/>
          <w:i/>
          <w:iCs/>
          <w:sz w:val="28"/>
          <w:szCs w:val="32"/>
          <w:u w:val="single"/>
          <w:lang w:val="en-US"/>
        </w:rPr>
      </w:pPr>
      <w:bookmarkStart w:id="0" w:name="_Hlk4756963"/>
      <w:proofErr w:type="spellStart"/>
      <w:r w:rsidRPr="0002732C">
        <w:rPr>
          <w:rFonts w:ascii="Gilroy" w:eastAsia="Arial" w:hAnsi="Gilroy" w:cs="Arial"/>
          <w:b/>
          <w:bCs/>
          <w:i/>
          <w:iCs/>
          <w:sz w:val="28"/>
          <w:szCs w:val="32"/>
          <w:u w:val="single"/>
          <w:lang w:val="en-US"/>
        </w:rPr>
        <w:t>Evento</w:t>
      </w:r>
      <w:proofErr w:type="spellEnd"/>
      <w:r w:rsidRPr="0002732C">
        <w:rPr>
          <w:rFonts w:ascii="Gilroy" w:eastAsia="Arial" w:hAnsi="Gilroy" w:cs="Arial"/>
          <w:b/>
          <w:bCs/>
          <w:i/>
          <w:iCs/>
          <w:sz w:val="28"/>
          <w:szCs w:val="32"/>
          <w:u w:val="single"/>
          <w:lang w:val="en-US"/>
        </w:rPr>
        <w:t xml:space="preserve"> de Great Place </w:t>
      </w:r>
      <w:proofErr w:type="gramStart"/>
      <w:r w:rsidRPr="0002732C">
        <w:rPr>
          <w:rFonts w:ascii="Gilroy" w:eastAsia="Arial" w:hAnsi="Gilroy" w:cs="Arial"/>
          <w:b/>
          <w:bCs/>
          <w:i/>
          <w:iCs/>
          <w:sz w:val="28"/>
          <w:szCs w:val="32"/>
          <w:u w:val="single"/>
          <w:lang w:val="en-US"/>
        </w:rPr>
        <w:t>To</w:t>
      </w:r>
      <w:proofErr w:type="gramEnd"/>
      <w:r w:rsidRPr="0002732C">
        <w:rPr>
          <w:rFonts w:ascii="Gilroy" w:eastAsia="Arial" w:hAnsi="Gilroy" w:cs="Arial"/>
          <w:b/>
          <w:bCs/>
          <w:i/>
          <w:iCs/>
          <w:sz w:val="28"/>
          <w:szCs w:val="32"/>
          <w:u w:val="single"/>
          <w:lang w:val="en-US"/>
        </w:rPr>
        <w:t xml:space="preserve"> Work® </w:t>
      </w:r>
      <w:proofErr w:type="spellStart"/>
      <w:r w:rsidRPr="0002732C">
        <w:rPr>
          <w:rFonts w:ascii="Gilroy" w:eastAsia="Arial" w:hAnsi="Gilroy" w:cs="Arial"/>
          <w:b/>
          <w:bCs/>
          <w:i/>
          <w:iCs/>
          <w:sz w:val="28"/>
          <w:szCs w:val="32"/>
          <w:u w:val="single"/>
          <w:lang w:val="en-US"/>
        </w:rPr>
        <w:t>en</w:t>
      </w:r>
      <w:proofErr w:type="spellEnd"/>
      <w:r w:rsidRPr="0002732C">
        <w:rPr>
          <w:rFonts w:ascii="Gilroy" w:eastAsia="Arial" w:hAnsi="Gilroy" w:cs="Arial"/>
          <w:b/>
          <w:bCs/>
          <w:i/>
          <w:iCs/>
          <w:sz w:val="28"/>
          <w:szCs w:val="32"/>
          <w:u w:val="single"/>
          <w:lang w:val="en-US"/>
        </w:rPr>
        <w:t xml:space="preserve"> San Salvador </w:t>
      </w:r>
    </w:p>
    <w:p w14:paraId="4E29D3A8" w14:textId="65847FED" w:rsidR="00754F65" w:rsidRPr="00230CCA" w:rsidRDefault="00F66E28" w:rsidP="0002732C">
      <w:pPr>
        <w:spacing w:before="200" w:after="200"/>
        <w:jc w:val="center"/>
        <w:rPr>
          <w:rFonts w:ascii="Gilroy" w:eastAsia="Arial" w:hAnsi="Gilroy" w:cs="Arial"/>
          <w:b/>
          <w:bCs/>
          <w:lang w:val="es-CR"/>
        </w:rPr>
      </w:pPr>
      <w:r>
        <w:rPr>
          <w:rFonts w:ascii="Gilroy" w:eastAsia="Arial" w:hAnsi="Gilroy" w:cs="Arial"/>
          <w:b/>
          <w:bCs/>
          <w:sz w:val="36"/>
          <w:szCs w:val="48"/>
          <w:lang w:val="es-CR"/>
        </w:rPr>
        <w:t>XXX</w:t>
      </w:r>
      <w:r w:rsidR="0002732C" w:rsidRPr="0002732C">
        <w:rPr>
          <w:rFonts w:ascii="Gilroy" w:eastAsia="Arial" w:hAnsi="Gilroy" w:cs="Arial"/>
          <w:b/>
          <w:bCs/>
          <w:sz w:val="36"/>
          <w:szCs w:val="48"/>
          <w:lang w:val="es-CR"/>
        </w:rPr>
        <w:t xml:space="preserve"> </w:t>
      </w:r>
      <w:r w:rsidR="00487917">
        <w:rPr>
          <w:rFonts w:ascii="Gilroy" w:eastAsia="Arial" w:hAnsi="Gilroy" w:cs="Arial"/>
          <w:b/>
          <w:bCs/>
          <w:sz w:val="36"/>
          <w:szCs w:val="48"/>
          <w:lang w:val="es-CR"/>
        </w:rPr>
        <w:t>organizaciones</w:t>
      </w:r>
      <w:r w:rsidR="0002732C" w:rsidRPr="0002732C">
        <w:rPr>
          <w:rFonts w:ascii="Gilroy" w:eastAsia="Arial" w:hAnsi="Gilroy" w:cs="Arial"/>
          <w:b/>
          <w:bCs/>
          <w:sz w:val="36"/>
          <w:szCs w:val="48"/>
          <w:lang w:val="es-CR"/>
        </w:rPr>
        <w:t xml:space="preserve"> </w:t>
      </w:r>
      <w:r>
        <w:rPr>
          <w:rFonts w:ascii="Gilroy" w:eastAsia="Arial" w:hAnsi="Gilroy" w:cs="Arial"/>
          <w:b/>
          <w:bCs/>
          <w:sz w:val="36"/>
          <w:szCs w:val="48"/>
          <w:lang w:val="es-CR"/>
        </w:rPr>
        <w:t>de XXXX</w:t>
      </w:r>
      <w:r w:rsidR="0002732C" w:rsidRPr="0002732C">
        <w:rPr>
          <w:rFonts w:ascii="Gilroy" w:eastAsia="Arial" w:hAnsi="Gilroy" w:cs="Arial"/>
          <w:b/>
          <w:bCs/>
          <w:sz w:val="36"/>
          <w:szCs w:val="48"/>
          <w:lang w:val="es-CR"/>
        </w:rPr>
        <w:t xml:space="preserve"> destacan en Los Mejores Lugares para Trabajar® en Centroamérica 2026</w:t>
      </w:r>
    </w:p>
    <w:bookmarkEnd w:id="0"/>
    <w:p w14:paraId="6F8A7BD9" w14:textId="0318E454" w:rsidR="0002732C" w:rsidRPr="0002732C" w:rsidRDefault="00F66E28" w:rsidP="0002732C">
      <w:pPr>
        <w:spacing w:before="200" w:after="200"/>
        <w:jc w:val="both"/>
        <w:rPr>
          <w:rFonts w:ascii="Gilroy" w:eastAsia="Arial" w:hAnsi="Gilroy" w:cs="Arial"/>
          <w:lang w:val="es-AR"/>
        </w:rPr>
      </w:pPr>
      <w:r>
        <w:rPr>
          <w:rFonts w:ascii="Gilroy" w:eastAsia="Arial" w:hAnsi="Gilroy" w:cs="Arial"/>
          <w:lang w:val="es-AR"/>
        </w:rPr>
        <w:t>Centroamérica</w:t>
      </w:r>
      <w:r w:rsidR="0002732C" w:rsidRPr="0002732C">
        <w:rPr>
          <w:rFonts w:ascii="Gilroy" w:eastAsia="Arial" w:hAnsi="Gilroy" w:cs="Arial"/>
          <w:lang w:val="es-AR"/>
        </w:rPr>
        <w:t>, 1</w:t>
      </w:r>
      <w:r>
        <w:rPr>
          <w:rFonts w:ascii="Gilroy" w:eastAsia="Arial" w:hAnsi="Gilroy" w:cs="Arial"/>
          <w:lang w:val="es-AR"/>
        </w:rPr>
        <w:t>6</w:t>
      </w:r>
      <w:r w:rsidR="0002732C" w:rsidRPr="0002732C">
        <w:rPr>
          <w:rFonts w:ascii="Gilroy" w:eastAsia="Arial" w:hAnsi="Gilroy" w:cs="Arial"/>
          <w:lang w:val="es-AR"/>
        </w:rPr>
        <w:t xml:space="preserve"> de abril, 2026 – Great Place To Work® Caribe &amp; Centroamérica, la autoridad global en culturas de trabajo, ha presentado en El Salvador sus listados de Los Mejores Lugares para Trabajar® en Centroamérica 2026, que reconocen a 65 organizaciones que están transformando la experiencia laboral a través de sus culturas basadas en la confianza, equidad y orgullo de pertenencia. </w:t>
      </w:r>
    </w:p>
    <w:p w14:paraId="2EBE2A4C" w14:textId="77777777" w:rsidR="0002732C" w:rsidRPr="0002732C" w:rsidRDefault="0002732C" w:rsidP="0002732C">
      <w:pPr>
        <w:spacing w:before="200" w:after="200"/>
        <w:jc w:val="both"/>
        <w:rPr>
          <w:rFonts w:ascii="Gilroy" w:eastAsia="Arial" w:hAnsi="Gilroy" w:cs="Arial"/>
          <w:lang w:val="es-AR"/>
        </w:rPr>
      </w:pPr>
      <w:r w:rsidRPr="0002732C">
        <w:rPr>
          <w:rFonts w:ascii="Gilroy" w:eastAsia="Arial" w:hAnsi="Gilroy" w:cs="Arial"/>
          <w:lang w:val="es-AR"/>
        </w:rPr>
        <w:t>“Las organizaciones que hoy reconocemos entienden que la confianza no es un valor aspiracional, sino una práctica diaria. Son culturas donde las personas pueden desarrollarse plenamente, innovar y generar resultados extraordinarios”, comentó Renán González, CEO de Great Place to Work® México, Caribe y Centroamérica.</w:t>
      </w:r>
    </w:p>
    <w:p w14:paraId="50695FD4" w14:textId="77777777" w:rsidR="0002732C" w:rsidRPr="0002732C" w:rsidRDefault="0002732C" w:rsidP="0002732C">
      <w:pPr>
        <w:spacing w:before="200" w:after="200"/>
        <w:jc w:val="both"/>
        <w:rPr>
          <w:rFonts w:ascii="Gilroy" w:eastAsia="Arial" w:hAnsi="Gilroy" w:cs="Arial"/>
          <w:lang w:val="es-AR"/>
        </w:rPr>
      </w:pPr>
      <w:r w:rsidRPr="0002732C">
        <w:rPr>
          <w:rFonts w:ascii="Gilroy" w:eastAsia="Arial" w:hAnsi="Gilroy" w:cs="Arial"/>
          <w:lang w:val="es-AR"/>
        </w:rPr>
        <w:t xml:space="preserve">En conjunto, </w:t>
      </w:r>
      <w:r w:rsidRPr="0002732C">
        <w:rPr>
          <w:rFonts w:ascii="Gilroy" w:eastAsia="Arial" w:hAnsi="Gilroy" w:cs="Arial"/>
          <w:b/>
          <w:bCs/>
          <w:lang w:val="es-AR"/>
        </w:rPr>
        <w:t>las 65 organizaciones reconocidas representan la voz de aproximadamente 62,000 colaboradores</w:t>
      </w:r>
      <w:r w:rsidRPr="0002732C">
        <w:rPr>
          <w:rFonts w:ascii="Gilroy" w:eastAsia="Arial" w:hAnsi="Gilroy" w:cs="Arial"/>
          <w:lang w:val="es-AR"/>
        </w:rPr>
        <w:t>. En total, el trabajo de Great Place To Work® en el último año logró impactar a más de 200,000 colaboradores que representan a más de 325 empleadores distribuidos en 16 países de la región, posicionando este listado como uno de los estudios más sólidos sobre cultura organizacional en Caribe y Centroamérica.</w:t>
      </w:r>
    </w:p>
    <w:p w14:paraId="4F853306" w14:textId="758E2706" w:rsidR="00754F65" w:rsidRPr="00531B1B" w:rsidRDefault="0002732C" w:rsidP="0002732C">
      <w:pPr>
        <w:spacing w:before="200" w:after="200"/>
        <w:jc w:val="both"/>
        <w:rPr>
          <w:rFonts w:ascii="Gilroy" w:eastAsia="Arial" w:hAnsi="Gilroy" w:cs="Arial"/>
          <w:lang w:val="es-ES"/>
        </w:rPr>
      </w:pPr>
      <w:r w:rsidRPr="0002732C">
        <w:rPr>
          <w:rFonts w:ascii="Gilroy" w:eastAsia="Arial" w:hAnsi="Gilroy" w:cs="Arial"/>
          <w:lang w:val="es-AR"/>
        </w:rPr>
        <w:t xml:space="preserve">Los Mejores Lugares para Trabajar® destacan a quienes poseen culturas de alta confianza y equipos de trabajo efectivos. Los principales criterios para formar parte de este listado son haber obtenido un resultado promedio superior al 70% en el Trust </w:t>
      </w:r>
      <w:proofErr w:type="spellStart"/>
      <w:r w:rsidRPr="0002732C">
        <w:rPr>
          <w:rFonts w:ascii="Gilroy" w:eastAsia="Arial" w:hAnsi="Gilroy" w:cs="Arial"/>
          <w:lang w:val="es-AR"/>
        </w:rPr>
        <w:t>Index</w:t>
      </w:r>
      <w:proofErr w:type="spellEnd"/>
      <w:r w:rsidRPr="0002732C">
        <w:rPr>
          <w:rFonts w:ascii="Gilroy" w:eastAsia="Arial" w:hAnsi="Gilroy" w:cs="Arial"/>
          <w:lang w:val="es-AR"/>
        </w:rPr>
        <w:t>™, la principal herramienta de diagnóstico de la metodología de Great Place to Work® para determinar el nivel de confianza, y haber completado satisfactoriamente los cuestionarios del Culture Brief™ y del Culture Audit™</w:t>
      </w:r>
      <w:r w:rsidR="00754F65" w:rsidRPr="00531B1B">
        <w:rPr>
          <w:rFonts w:ascii="Gilroy" w:eastAsia="Arial" w:hAnsi="Gilroy" w:cs="Arial"/>
          <w:lang w:val="es-ES"/>
        </w:rPr>
        <w:t>.</w:t>
      </w:r>
    </w:p>
    <w:p w14:paraId="4BFF258A" w14:textId="14A69FBF" w:rsidR="00754F65" w:rsidRPr="0002732C" w:rsidRDefault="0002732C" w:rsidP="00B30F9F">
      <w:pPr>
        <w:spacing w:before="200" w:after="200"/>
        <w:jc w:val="both"/>
        <w:rPr>
          <w:rFonts w:ascii="Gilroy" w:eastAsia="Arial" w:hAnsi="Gilroy" w:cs="Arial"/>
          <w:b/>
          <w:bCs/>
          <w:u w:val="single"/>
          <w:lang w:val="es-ES"/>
        </w:rPr>
      </w:pPr>
      <w:r w:rsidRPr="0002732C">
        <w:rPr>
          <w:rFonts w:ascii="Gilroy" w:eastAsia="Arial" w:hAnsi="Gilroy" w:cs="Arial"/>
          <w:b/>
          <w:bCs/>
          <w:u w:val="single"/>
          <w:lang w:val="es-ES"/>
        </w:rPr>
        <w:t>Una región diversa en la que las organizaciones alcanzan altos estándares</w:t>
      </w:r>
    </w:p>
    <w:p w14:paraId="210871C5" w14:textId="44169AEB" w:rsidR="0002732C" w:rsidRPr="0002732C" w:rsidRDefault="0002732C" w:rsidP="0002732C">
      <w:pPr>
        <w:spacing w:before="200" w:after="200"/>
        <w:jc w:val="both"/>
        <w:rPr>
          <w:rFonts w:ascii="Gilroy" w:eastAsia="Arial" w:hAnsi="Gilroy" w:cs="Arial"/>
          <w:lang w:val="es-ES"/>
        </w:rPr>
      </w:pPr>
      <w:r w:rsidRPr="0002732C">
        <w:rPr>
          <w:rFonts w:ascii="Gilroy" w:eastAsia="Arial" w:hAnsi="Gilroy" w:cs="Arial"/>
          <w:lang w:val="es-ES"/>
        </w:rPr>
        <w:t xml:space="preserve">El análisis revela que </w:t>
      </w:r>
      <w:r w:rsidRPr="0002732C">
        <w:rPr>
          <w:rFonts w:ascii="Gilroy" w:eastAsia="Arial" w:hAnsi="Gilroy" w:cs="Arial"/>
          <w:b/>
          <w:bCs/>
          <w:lang w:val="es-ES"/>
        </w:rPr>
        <w:t xml:space="preserve">el promedio general del Trust </w:t>
      </w:r>
      <w:proofErr w:type="spellStart"/>
      <w:r w:rsidRPr="0002732C">
        <w:rPr>
          <w:rFonts w:ascii="Gilroy" w:eastAsia="Arial" w:hAnsi="Gilroy" w:cs="Arial"/>
          <w:b/>
          <w:bCs/>
          <w:lang w:val="es-ES"/>
        </w:rPr>
        <w:t>Index</w:t>
      </w:r>
      <w:proofErr w:type="spellEnd"/>
      <w:r w:rsidRPr="0002732C">
        <w:rPr>
          <w:rFonts w:ascii="Gilroy" w:eastAsia="Arial" w:hAnsi="Gilroy" w:cs="Arial"/>
          <w:b/>
          <w:bCs/>
          <w:lang w:val="es-ES"/>
        </w:rPr>
        <w:t>™ entre las organizaciones destacadas alcanzó un 87%</w:t>
      </w:r>
      <w:r w:rsidRPr="0002732C">
        <w:rPr>
          <w:rFonts w:ascii="Gilroy" w:eastAsia="Arial" w:hAnsi="Gilroy" w:cs="Arial"/>
          <w:lang w:val="es-ES"/>
        </w:rPr>
        <w:t xml:space="preserve">, reflejando los altos niveles de confianza. </w:t>
      </w:r>
      <w:r w:rsidR="00F66E28">
        <w:rPr>
          <w:rFonts w:ascii="Gilroy" w:eastAsia="Arial" w:hAnsi="Gilroy" w:cs="Arial"/>
          <w:lang w:val="es-ES"/>
        </w:rPr>
        <w:t>A n</w:t>
      </w:r>
      <w:r w:rsidRPr="0002732C">
        <w:rPr>
          <w:rFonts w:ascii="Gilroy" w:eastAsia="Arial" w:hAnsi="Gilroy" w:cs="Arial"/>
          <w:lang w:val="es-ES"/>
        </w:rPr>
        <w:t xml:space="preserve">ivel regional, los resultados muestran una notable consistencia: entre los países centroamericanos existe una diferencia máxima de apenas 2 puntos porcentuales. </w:t>
      </w:r>
    </w:p>
    <w:p w14:paraId="5C016669" w14:textId="77777777" w:rsidR="0002732C" w:rsidRPr="0002732C" w:rsidRDefault="0002732C" w:rsidP="0002732C">
      <w:pPr>
        <w:spacing w:before="200" w:after="200"/>
        <w:jc w:val="both"/>
        <w:rPr>
          <w:rFonts w:ascii="Gilroy" w:eastAsia="Arial" w:hAnsi="Gilroy" w:cs="Arial"/>
          <w:lang w:val="es-ES"/>
        </w:rPr>
      </w:pPr>
      <w:r w:rsidRPr="0002732C">
        <w:rPr>
          <w:rFonts w:ascii="Gilroy" w:eastAsia="Arial" w:hAnsi="Gilroy" w:cs="Arial"/>
          <w:lang w:val="es-ES"/>
        </w:rPr>
        <w:t xml:space="preserve">El estudio muestra que más allá de las diferencias geográficas, socioeconómicas y políticas, cuando las organizaciones se convierten en Los Mejores Lugares para Trabajar®, transforman la experiencia laboral con altos estándares de clima y cultura organizacional que son percibidos de forma similar por las personas colaboradoras, independientemente del país en cuestión. </w:t>
      </w:r>
    </w:p>
    <w:p w14:paraId="3CC2ADCD" w14:textId="77777777" w:rsidR="0002732C" w:rsidRPr="0002732C" w:rsidRDefault="0002732C" w:rsidP="0002732C">
      <w:pPr>
        <w:spacing w:before="200" w:after="200"/>
        <w:jc w:val="both"/>
        <w:rPr>
          <w:rFonts w:ascii="Gilroy" w:eastAsia="Arial" w:hAnsi="Gilroy" w:cs="Arial"/>
          <w:lang w:val="es-ES"/>
        </w:rPr>
      </w:pPr>
      <w:r w:rsidRPr="0002732C">
        <w:rPr>
          <w:rFonts w:ascii="Gilroy" w:eastAsia="Arial" w:hAnsi="Gilroy" w:cs="Arial"/>
          <w:lang w:val="es-ES"/>
        </w:rPr>
        <w:lastRenderedPageBreak/>
        <w:t>En relación con las áreas de enfoque principales del modelo de Great Place To Work®, las principales fortalezas de las organizaciones de la región son la Justicia (93%), Imagen Corporativa (91%) y Equipo (90%). Justicia mide la percepción sobre el comportamiento inclusivo y el compromiso de garantizar apelaciones justas por parte del liderazgo, mientras que Imagen Corporativa y Equipo se relacionan con el orgullo y sentido de pertenencia.</w:t>
      </w:r>
    </w:p>
    <w:p w14:paraId="3A564346" w14:textId="13925B48" w:rsidR="00754F65" w:rsidRPr="0097502E" w:rsidRDefault="0002732C" w:rsidP="0002732C">
      <w:pPr>
        <w:spacing w:before="200" w:after="200"/>
        <w:jc w:val="both"/>
        <w:rPr>
          <w:rFonts w:ascii="Gilroy" w:eastAsia="Arial" w:hAnsi="Gilroy" w:cs="Arial"/>
          <w:lang w:val="es-ES"/>
        </w:rPr>
      </w:pPr>
      <w:r w:rsidRPr="0002732C">
        <w:rPr>
          <w:rFonts w:ascii="Gilroy" w:eastAsia="Arial" w:hAnsi="Gilroy" w:cs="Arial"/>
          <w:lang w:val="es-ES"/>
        </w:rPr>
        <w:t>Por otro lado, se identifican oportunidades de mejora en Colaboración (82%), Equidad (82%) e Imparcialidad (77%), siendo esta última una percepción sobre el grado en el cual el liderazgo evita el favoritismo y se esfuerza por promover la evaluación equitativa de las personas para asignar puestos y tareas</w:t>
      </w:r>
      <w:r w:rsidR="00754F65" w:rsidRPr="0097502E">
        <w:rPr>
          <w:rFonts w:ascii="Gilroy" w:eastAsia="Arial" w:hAnsi="Gilroy" w:cs="Arial"/>
          <w:lang w:val="es-ES"/>
        </w:rPr>
        <w:t xml:space="preserve">. </w:t>
      </w:r>
    </w:p>
    <w:p w14:paraId="64067ABA" w14:textId="7D608BC4" w:rsidR="00754F65" w:rsidRPr="0002732C" w:rsidRDefault="0002732C" w:rsidP="00B30F9F">
      <w:pPr>
        <w:spacing w:before="200" w:after="200"/>
        <w:rPr>
          <w:rFonts w:ascii="Gilroy" w:eastAsia="Arial" w:hAnsi="Gilroy" w:cs="Arial"/>
          <w:b/>
          <w:bCs/>
          <w:u w:val="single"/>
          <w:lang w:val="es-ES"/>
        </w:rPr>
      </w:pPr>
      <w:r w:rsidRPr="0002732C">
        <w:rPr>
          <w:rFonts w:ascii="Gilroy" w:eastAsia="Arial" w:hAnsi="Gilroy" w:cs="Arial"/>
          <w:b/>
          <w:bCs/>
          <w:u w:val="single"/>
          <w:lang w:val="es-ES"/>
        </w:rPr>
        <w:t>Un evento que recorre Centroamérica</w:t>
      </w:r>
    </w:p>
    <w:p w14:paraId="00FE1089" w14:textId="51EBDDA6" w:rsidR="00487917" w:rsidRPr="00487917" w:rsidRDefault="00487917" w:rsidP="00487917">
      <w:pPr>
        <w:spacing w:before="200" w:after="200"/>
        <w:jc w:val="both"/>
        <w:rPr>
          <w:rFonts w:ascii="Gilroy" w:eastAsia="Arial" w:hAnsi="Gilroy" w:cs="Arial"/>
          <w:lang w:val="es-SV"/>
        </w:rPr>
      </w:pPr>
      <w:r w:rsidRPr="00487917">
        <w:rPr>
          <w:rFonts w:ascii="Gilroy" w:eastAsia="Arial" w:hAnsi="Gilroy" w:cs="Arial"/>
          <w:lang w:val="es-SV"/>
        </w:rPr>
        <w:t>Tras cinco años con otro formato, en esta</w:t>
      </w:r>
      <w:r w:rsidRPr="00487917">
        <w:rPr>
          <w:rFonts w:ascii="Calibri" w:eastAsia="Arial" w:hAnsi="Calibri" w:cs="Calibri"/>
          <w:lang w:val="es-SV"/>
        </w:rPr>
        <w:t> </w:t>
      </w:r>
      <w:r w:rsidRPr="00487917">
        <w:rPr>
          <w:rFonts w:ascii="Gilroy" w:eastAsia="Arial" w:hAnsi="Gilroy" w:cs="Arial"/>
          <w:lang w:val="es-SV"/>
        </w:rPr>
        <w:t>ocasi</w:t>
      </w:r>
      <w:r w:rsidRPr="00487917">
        <w:rPr>
          <w:rFonts w:ascii="Gilroy" w:eastAsia="Arial" w:hAnsi="Gilroy" w:cs="Gilroy"/>
          <w:lang w:val="es-SV"/>
        </w:rPr>
        <w:t>ó</w:t>
      </w:r>
      <w:r w:rsidRPr="00487917">
        <w:rPr>
          <w:rFonts w:ascii="Gilroy" w:eastAsia="Arial" w:hAnsi="Gilroy" w:cs="Arial"/>
          <w:lang w:val="es-SV"/>
        </w:rPr>
        <w:t>n, Great Place To Work</w:t>
      </w:r>
      <w:r w:rsidRPr="00487917">
        <w:rPr>
          <w:rFonts w:ascii="Gilroy" w:eastAsia="Arial" w:hAnsi="Gilroy" w:cs="Gilroy"/>
          <w:lang w:val="es-SV"/>
        </w:rPr>
        <w:t>®</w:t>
      </w:r>
      <w:r w:rsidRPr="00487917">
        <w:rPr>
          <w:rFonts w:ascii="Gilroy" w:eastAsia="Arial" w:hAnsi="Gilroy" w:cs="Arial"/>
          <w:lang w:val="es-SV"/>
        </w:rPr>
        <w:t xml:space="preserve"> Caribe &amp; Centroam</w:t>
      </w:r>
      <w:r w:rsidRPr="00487917">
        <w:rPr>
          <w:rFonts w:ascii="Gilroy" w:eastAsia="Arial" w:hAnsi="Gilroy" w:cs="Gilroy"/>
          <w:lang w:val="es-SV"/>
        </w:rPr>
        <w:t>é</w:t>
      </w:r>
      <w:r w:rsidRPr="00487917">
        <w:rPr>
          <w:rFonts w:ascii="Gilroy" w:eastAsia="Arial" w:hAnsi="Gilroy" w:cs="Arial"/>
          <w:lang w:val="es-SV"/>
        </w:rPr>
        <w:t>rica</w:t>
      </w:r>
      <w:r w:rsidRPr="00487917">
        <w:rPr>
          <w:rFonts w:ascii="Calibri" w:eastAsia="Arial" w:hAnsi="Calibri" w:cs="Calibri"/>
          <w:lang w:val="es-SV"/>
        </w:rPr>
        <w:t> </w:t>
      </w:r>
      <w:r w:rsidRPr="00487917">
        <w:rPr>
          <w:rFonts w:ascii="Gilroy" w:eastAsia="Arial" w:hAnsi="Gilroy" w:cs="Arial"/>
          <w:lang w:val="es-SV"/>
        </w:rPr>
        <w:t>vuelve a la costumbre de organizar dos eventos para presentar los listados de Los Mejores Lugares para Trabajar</w:t>
      </w:r>
      <w:r w:rsidRPr="00487917">
        <w:rPr>
          <w:rFonts w:ascii="Gilroy" w:eastAsia="Arial" w:hAnsi="Gilroy" w:cs="Gilroy"/>
          <w:lang w:val="es-SV"/>
        </w:rPr>
        <w:t>®</w:t>
      </w:r>
      <w:r w:rsidRPr="00487917">
        <w:rPr>
          <w:rFonts w:ascii="Gilroy" w:eastAsia="Arial" w:hAnsi="Gilroy" w:cs="Arial"/>
          <w:lang w:val="es-SV"/>
        </w:rPr>
        <w:t xml:space="preserve"> en la regi</w:t>
      </w:r>
      <w:r w:rsidRPr="00487917">
        <w:rPr>
          <w:rFonts w:ascii="Gilroy" w:eastAsia="Arial" w:hAnsi="Gilroy" w:cs="Gilroy"/>
          <w:lang w:val="es-SV"/>
        </w:rPr>
        <w:t>ó</w:t>
      </w:r>
      <w:r w:rsidRPr="00487917">
        <w:rPr>
          <w:rFonts w:ascii="Gilroy" w:eastAsia="Arial" w:hAnsi="Gilroy" w:cs="Arial"/>
          <w:lang w:val="es-SV"/>
        </w:rPr>
        <w:t>n. En ese sentido, la ceremonia en El Salvador, que repite como pa</w:t>
      </w:r>
      <w:r w:rsidRPr="00487917">
        <w:rPr>
          <w:rFonts w:ascii="Gilroy" w:eastAsia="Arial" w:hAnsi="Gilroy" w:cs="Gilroy"/>
          <w:lang w:val="es-SV"/>
        </w:rPr>
        <w:t>í</w:t>
      </w:r>
      <w:r w:rsidRPr="00487917">
        <w:rPr>
          <w:rFonts w:ascii="Gilroy" w:eastAsia="Arial" w:hAnsi="Gilroy" w:cs="Arial"/>
          <w:lang w:val="es-SV"/>
        </w:rPr>
        <w:t>s anfitri</w:t>
      </w:r>
      <w:r w:rsidRPr="00487917">
        <w:rPr>
          <w:rFonts w:ascii="Gilroy" w:eastAsia="Arial" w:hAnsi="Gilroy" w:cs="Gilroy"/>
          <w:lang w:val="es-SV"/>
        </w:rPr>
        <w:t>ó</w:t>
      </w:r>
      <w:r w:rsidRPr="00487917">
        <w:rPr>
          <w:rFonts w:ascii="Gilroy" w:eastAsia="Arial" w:hAnsi="Gilroy" w:cs="Arial"/>
          <w:lang w:val="es-SV"/>
        </w:rPr>
        <w:t>n luego de la edici</w:t>
      </w:r>
      <w:r w:rsidRPr="00487917">
        <w:rPr>
          <w:rFonts w:ascii="Gilroy" w:eastAsia="Arial" w:hAnsi="Gilroy" w:cs="Gilroy"/>
          <w:lang w:val="es-SV"/>
        </w:rPr>
        <w:t>ó</w:t>
      </w:r>
      <w:r w:rsidRPr="00487917">
        <w:rPr>
          <w:rFonts w:ascii="Gilroy" w:eastAsia="Arial" w:hAnsi="Gilroy" w:cs="Arial"/>
          <w:lang w:val="es-SV"/>
        </w:rPr>
        <w:t xml:space="preserve">n de 2018, cuenta con el respaldo de </w:t>
      </w:r>
      <w:r w:rsidRPr="00487917">
        <w:rPr>
          <w:rFonts w:ascii="Gilroy" w:eastAsia="Arial" w:hAnsi="Gilroy" w:cs="Arial"/>
          <w:b/>
          <w:bCs/>
          <w:lang w:val="es-SV"/>
        </w:rPr>
        <w:t>Grupo SID y Grupo Universal</w:t>
      </w:r>
      <w:r w:rsidRPr="00487917">
        <w:rPr>
          <w:rFonts w:ascii="Gilroy" w:eastAsia="Arial" w:hAnsi="Gilroy" w:cs="Arial"/>
          <w:lang w:val="es-SV"/>
        </w:rPr>
        <w:t xml:space="preserve"> como aliados estratégicos, demostrando su compromiso con el desarrollo del talento en la región, reforzando la importancia de impulsar culturas organizacionales sostenibles y centradas en las personas. </w:t>
      </w:r>
    </w:p>
    <w:p w14:paraId="40820FF2" w14:textId="77777777" w:rsidR="00E45225" w:rsidRDefault="00E45225" w:rsidP="00B30F9F">
      <w:pPr>
        <w:spacing w:before="200" w:after="200"/>
        <w:jc w:val="both"/>
        <w:rPr>
          <w:rFonts w:ascii="Gilroy" w:eastAsia="Arial" w:hAnsi="Gilroy" w:cs="Arial"/>
          <w:lang w:val="es-ES"/>
        </w:rPr>
      </w:pPr>
    </w:p>
    <w:p w14:paraId="44A3CEF9" w14:textId="247C93B8" w:rsidR="00754F65" w:rsidRPr="00754F65" w:rsidRDefault="00754F65" w:rsidP="00B30F9F">
      <w:pPr>
        <w:spacing w:before="200" w:after="200"/>
        <w:jc w:val="both"/>
        <w:rPr>
          <w:rFonts w:ascii="Gilroy" w:eastAsia="Arial" w:hAnsi="Gilroy" w:cs="Arial"/>
          <w:b/>
          <w:bCs/>
          <w:color w:val="000000"/>
          <w:bdr w:val="none" w:sz="0" w:space="0" w:color="auto" w:frame="1"/>
          <w:lang w:val="en-US"/>
        </w:rPr>
      </w:pPr>
      <w:proofErr w:type="spellStart"/>
      <w:r w:rsidRPr="00754F65">
        <w:rPr>
          <w:rFonts w:ascii="Gilroy" w:eastAsia="Arial" w:hAnsi="Gilroy" w:cs="Arial"/>
          <w:b/>
          <w:bCs/>
          <w:color w:val="000000"/>
          <w:bdr w:val="none" w:sz="0" w:space="0" w:color="auto" w:frame="1"/>
          <w:lang w:val="en-US"/>
        </w:rPr>
        <w:t>Acerca</w:t>
      </w:r>
      <w:proofErr w:type="spellEnd"/>
      <w:r w:rsidRPr="00754F65">
        <w:rPr>
          <w:rFonts w:ascii="Gilroy" w:eastAsia="Arial" w:hAnsi="Gilroy" w:cs="Arial"/>
          <w:b/>
          <w:bCs/>
          <w:color w:val="000000"/>
          <w:bdr w:val="none" w:sz="0" w:space="0" w:color="auto" w:frame="1"/>
          <w:lang w:val="en-US"/>
        </w:rPr>
        <w:t xml:space="preserve"> de Great Place to Work®</w:t>
      </w:r>
    </w:p>
    <w:p w14:paraId="1DED08E0" w14:textId="77777777" w:rsidR="00B30F9F" w:rsidRPr="00B30F9F" w:rsidRDefault="00B30F9F" w:rsidP="00B30F9F">
      <w:pPr>
        <w:spacing w:before="200" w:after="200"/>
        <w:jc w:val="both"/>
        <w:rPr>
          <w:rFonts w:ascii="Gilroy" w:eastAsia="Arial" w:hAnsi="Gilroy" w:cs="Arial"/>
          <w:lang w:val="es-ES"/>
        </w:rPr>
      </w:pPr>
      <w:r w:rsidRPr="00B30F9F">
        <w:rPr>
          <w:rFonts w:ascii="Gilroy" w:eastAsia="Arial" w:hAnsi="Gilroy" w:cs="Arial"/>
          <w:lang w:val="es-ES"/>
        </w:rPr>
        <w:t xml:space="preserve">Great Place to Work® es la autoridad global sobre cultura del lugar de trabajo. Desde 1992 ha encuestado a más de 100 millones de empleados de todo el mundo y ha utilizado esas opiniones detalladas para definir qué hace que un lugar de trabajo sea excelente: la confianza. Great Place to Work® ayuda a las organizaciones a cuantificar su cultura y generar mejores resultados de negocio mediante la creación de una experiencia laboral de gran confianza para todos los colaboradores. </w:t>
      </w:r>
    </w:p>
    <w:p w14:paraId="447A49E7" w14:textId="117D03B5" w:rsidR="00A97BFF" w:rsidRPr="00E2580C" w:rsidRDefault="00754F65" w:rsidP="00B30F9F">
      <w:pPr>
        <w:spacing w:before="200" w:after="200"/>
        <w:jc w:val="both"/>
        <w:rPr>
          <w:rFonts w:ascii="Gilroy" w:eastAsia="Arial" w:hAnsi="Gilroy" w:cs="Arial"/>
          <w:lang w:val="es-ES"/>
        </w:rPr>
      </w:pPr>
      <w:r w:rsidRPr="00BA779A">
        <w:rPr>
          <w:rFonts w:ascii="Gilroy" w:eastAsia="Arial" w:hAnsi="Gilroy" w:cs="Arial"/>
          <w:lang w:val="es-ES"/>
        </w:rPr>
        <w:t xml:space="preserve">Para conocer más detalles, visite </w:t>
      </w:r>
      <w:hyperlink r:id="rId10">
        <w:r w:rsidRPr="00BA779A">
          <w:rPr>
            <w:rStyle w:val="Hipervnculo"/>
            <w:rFonts w:ascii="Gilroy" w:eastAsia="Arial" w:hAnsi="Gilroy" w:cs="Arial"/>
            <w:lang w:val="es-ES"/>
          </w:rPr>
          <w:t>greatplacetoworkcarca.com</w:t>
        </w:r>
      </w:hyperlink>
    </w:p>
    <w:sectPr w:rsidR="00A97BFF" w:rsidRPr="00E2580C" w:rsidSect="00E452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134" w:right="1332" w:bottom="1134" w:left="2410" w:header="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4105" w14:textId="77777777" w:rsidR="001B17E3" w:rsidRDefault="001B17E3" w:rsidP="003428AD">
      <w:r>
        <w:separator/>
      </w:r>
    </w:p>
  </w:endnote>
  <w:endnote w:type="continuationSeparator" w:id="0">
    <w:p w14:paraId="7445F3B8" w14:textId="77777777" w:rsidR="001B17E3" w:rsidRDefault="001B17E3" w:rsidP="0034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roy">
    <w:altName w:val="Calibri"/>
    <w:panose1 w:val="020B0604020202020204"/>
    <w:charset w:val="4D"/>
    <w:family w:val="auto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32264972"/>
      <w:docPartObj>
        <w:docPartGallery w:val="Page Numbers (Bottom of Page)"/>
        <w:docPartUnique/>
      </w:docPartObj>
    </w:sdtPr>
    <w:sdtContent>
      <w:p w14:paraId="34A65D15" w14:textId="77777777" w:rsidR="00F2287F" w:rsidRDefault="00F2287F" w:rsidP="00D40D13">
        <w:pPr>
          <w:pStyle w:val="Piedepgina"/>
          <w:framePr w:wrap="none" w:vAnchor="text" w:hAnchor="margin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944E5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921458012"/>
      <w:docPartObj>
        <w:docPartGallery w:val="Page Numbers (Bottom of Page)"/>
        <w:docPartUnique/>
      </w:docPartObj>
    </w:sdtPr>
    <w:sdtContent>
      <w:p w14:paraId="6D4DBD60" w14:textId="77777777" w:rsidR="007B665C" w:rsidRDefault="007B665C" w:rsidP="00F2287F">
        <w:pPr>
          <w:pStyle w:val="Piedepgina"/>
          <w:framePr w:wrap="none" w:vAnchor="text" w:hAnchor="margin" w:y="1"/>
          <w:ind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944E5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5A670868" w14:textId="77777777" w:rsidR="00922A16" w:rsidRDefault="00922A16" w:rsidP="007B665C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Cs w:val="15"/>
      </w:rPr>
      <w:id w:val="900633790"/>
      <w:docPartObj>
        <w:docPartGallery w:val="Page Numbers (Bottom of Page)"/>
        <w:docPartUnique/>
      </w:docPartObj>
    </w:sdtPr>
    <w:sdtContent>
      <w:p w14:paraId="301F47AD" w14:textId="77777777" w:rsidR="00F2287F" w:rsidRPr="00FF35E4" w:rsidRDefault="00F2287F" w:rsidP="008127AF">
        <w:pPr>
          <w:pStyle w:val="Piedepgina"/>
          <w:framePr w:w="862" w:h="495" w:hRule="exact" w:wrap="none" w:vAnchor="text" w:hAnchor="page" w:x="1037" w:y="-158"/>
          <w:rPr>
            <w:rStyle w:val="Nmerodepgina"/>
            <w:szCs w:val="15"/>
          </w:rPr>
        </w:pPr>
        <w:r w:rsidRPr="00FF35E4">
          <w:rPr>
            <w:rStyle w:val="Nmerodepgina"/>
            <w:szCs w:val="15"/>
          </w:rPr>
          <w:fldChar w:fldCharType="begin"/>
        </w:r>
        <w:r w:rsidRPr="00FF35E4">
          <w:rPr>
            <w:rStyle w:val="Nmerodepgina"/>
            <w:szCs w:val="15"/>
          </w:rPr>
          <w:instrText xml:space="preserve"> PAGE </w:instrText>
        </w:r>
        <w:r w:rsidRPr="00FF35E4">
          <w:rPr>
            <w:rStyle w:val="Nmerodepgina"/>
            <w:szCs w:val="15"/>
          </w:rPr>
          <w:fldChar w:fldCharType="separate"/>
        </w:r>
        <w:r w:rsidRPr="00FF35E4">
          <w:rPr>
            <w:rStyle w:val="Nmerodepgina"/>
            <w:noProof/>
            <w:szCs w:val="15"/>
          </w:rPr>
          <w:t>1</w:t>
        </w:r>
        <w:r w:rsidRPr="00FF35E4">
          <w:rPr>
            <w:rStyle w:val="Nmerodepgina"/>
            <w:szCs w:val="15"/>
          </w:rPr>
          <w:fldChar w:fldCharType="end"/>
        </w:r>
      </w:p>
    </w:sdtContent>
  </w:sdt>
  <w:p w14:paraId="12A09E5B" w14:textId="77777777" w:rsidR="00554B7B" w:rsidRPr="0064052D" w:rsidRDefault="00554B7B" w:rsidP="00EA5FB3">
    <w:pPr>
      <w:pStyle w:val="Piedepgina"/>
      <w:tabs>
        <w:tab w:val="clear" w:pos="4680"/>
        <w:tab w:val="center" w:pos="4320"/>
      </w:tabs>
      <w:ind w:firstLine="360"/>
      <w:rPr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DA3A" w14:textId="77777777" w:rsidR="004A3084" w:rsidRDefault="004A30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DF4F" w14:textId="77777777" w:rsidR="001B17E3" w:rsidRDefault="001B17E3" w:rsidP="003428AD">
      <w:r>
        <w:separator/>
      </w:r>
    </w:p>
  </w:footnote>
  <w:footnote w:type="continuationSeparator" w:id="0">
    <w:p w14:paraId="20838BDE" w14:textId="77777777" w:rsidR="001B17E3" w:rsidRDefault="001B17E3" w:rsidP="00342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F03C" w14:textId="77777777" w:rsidR="004A3084" w:rsidRDefault="004A30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5E0F" w14:textId="77777777" w:rsidR="004A3084" w:rsidRDefault="004A308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3471" w14:textId="77777777" w:rsidR="00C944E5" w:rsidRDefault="006E15F6">
    <w:pPr>
      <w:pStyle w:val="Encabezado"/>
    </w:pPr>
    <w:r>
      <w:rPr>
        <w:noProof/>
      </w:rPr>
      <w:drawing>
        <wp:anchor distT="0" distB="0" distL="114300" distR="114300" simplePos="0" relativeHeight="251657214" behindDoc="1" locked="0" layoutInCell="1" allowOverlap="1" wp14:anchorId="5DD0D0AF" wp14:editId="2EE2A85C">
          <wp:simplePos x="0" y="0"/>
          <wp:positionH relativeFrom="column">
            <wp:posOffset>-1598408</wp:posOffset>
          </wp:positionH>
          <wp:positionV relativeFrom="paragraph">
            <wp:posOffset>203200</wp:posOffset>
          </wp:positionV>
          <wp:extent cx="1524000" cy="9975215"/>
          <wp:effectExtent l="0" t="0" r="0" b="0"/>
          <wp:wrapNone/>
          <wp:docPr id="2033076221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9975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C8B9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E5695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C870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D36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90BC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CDB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5AE7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3A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D6F596"/>
    <w:lvl w:ilvl="0">
      <w:start w:val="1"/>
      <w:numFmt w:val="decimal"/>
      <w:pStyle w:val="Listaconnmeros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D3E0F4E"/>
    <w:lvl w:ilvl="0">
      <w:start w:val="1"/>
      <w:numFmt w:val="bullet"/>
      <w:pStyle w:val="Listaconvietas"/>
      <w:lvlText w:val="–"/>
      <w:lvlJc w:val="left"/>
      <w:pPr>
        <w:tabs>
          <w:tab w:val="num" w:pos="288"/>
        </w:tabs>
        <w:ind w:left="288" w:hanging="288"/>
      </w:pPr>
      <w:rPr>
        <w:rFonts w:ascii="Century Gothic" w:hAnsi="Century Gothic" w:hint="default"/>
        <w:b w:val="0"/>
        <w:i w:val="0"/>
        <w:color w:val="11131C" w:themeColor="text1"/>
        <w:spacing w:val="0"/>
        <w:w w:val="100"/>
        <w:position w:val="2"/>
        <w:sz w:val="18"/>
        <w:u w:val="none"/>
        <w14:ligatures w14:val="none"/>
        <w14:numForm w14:val="default"/>
        <w14:numSpacing w14:val="default"/>
        <w14:stylisticSets/>
      </w:rPr>
    </w:lvl>
  </w:abstractNum>
  <w:abstractNum w:abstractNumId="10" w15:restartNumberingAfterBreak="0">
    <w:nsid w:val="22A01DDC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924952"/>
    <w:multiLevelType w:val="hybridMultilevel"/>
    <w:tmpl w:val="4514604A"/>
    <w:lvl w:ilvl="0" w:tplc="6576DEB2">
      <w:start w:val="1"/>
      <w:numFmt w:val="bullet"/>
      <w:lvlText w:val="—"/>
      <w:lvlJc w:val="left"/>
      <w:pPr>
        <w:ind w:left="72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340C7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0F55AD"/>
    <w:multiLevelType w:val="multilevel"/>
    <w:tmpl w:val="3ABEFA24"/>
    <w:styleLink w:val="CurrentList1"/>
    <w:lvl w:ilvl="0">
      <w:start w:val="1"/>
      <w:numFmt w:val="bullet"/>
      <w:lvlText w:val="—"/>
      <w:lvlJc w:val="left"/>
      <w:pPr>
        <w:ind w:left="72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1">
      <w:start w:val="1"/>
      <w:numFmt w:val="bullet"/>
      <w:lvlText w:val="—"/>
      <w:lvlJc w:val="left"/>
      <w:pPr>
        <w:ind w:left="144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C711C"/>
    <w:multiLevelType w:val="hybridMultilevel"/>
    <w:tmpl w:val="780CBF78"/>
    <w:lvl w:ilvl="0" w:tplc="241A6B52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  <w:b w:val="0"/>
        <w:i w:val="0"/>
        <w:color w:val="11131C" w:themeColor="text1"/>
        <w:spacing w:val="0"/>
        <w:w w:val="100"/>
        <w:position w:val="2"/>
        <w:sz w:val="18"/>
        <w:u w:val="none"/>
        <w14:ligatures w14:val="none"/>
      </w:rPr>
    </w:lvl>
    <w:lvl w:ilvl="1" w:tplc="67DE0DB4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11131C" w:themeColor="text1"/>
      </w:rPr>
    </w:lvl>
    <w:lvl w:ilvl="2" w:tplc="D44275C6">
      <w:start w:val="1"/>
      <w:numFmt w:val="bullet"/>
      <w:lvlText w:val="–"/>
      <w:lvlJc w:val="left"/>
      <w:pPr>
        <w:ind w:left="2160" w:hanging="360"/>
      </w:pPr>
      <w:rPr>
        <w:rFonts w:ascii="Century Gothic" w:hAnsi="Century Gothic" w:hint="default"/>
        <w:color w:val="11131C" w:themeColor="text1"/>
      </w:rPr>
    </w:lvl>
    <w:lvl w:ilvl="3" w:tplc="241A6B52">
      <w:start w:val="1"/>
      <w:numFmt w:val="bullet"/>
      <w:lvlText w:val="–"/>
      <w:lvlJc w:val="left"/>
      <w:pPr>
        <w:ind w:left="2880" w:hanging="360"/>
      </w:pPr>
      <w:rPr>
        <w:rFonts w:ascii="Century Gothic" w:hAnsi="Century Gothic" w:hint="default"/>
        <w:b w:val="0"/>
        <w:i w:val="0"/>
        <w:color w:val="11131C" w:themeColor="text1"/>
        <w:spacing w:val="0"/>
        <w:w w:val="100"/>
        <w:position w:val="2"/>
        <w:sz w:val="18"/>
        <w:u w:val="none"/>
        <w14:ligatures w14:val="none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16A15"/>
    <w:multiLevelType w:val="hybridMultilevel"/>
    <w:tmpl w:val="2B5608A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  <w:b w:val="0"/>
        <w:i w:val="0"/>
        <w:color w:val="11131C" w:themeColor="text1"/>
        <w:spacing w:val="0"/>
        <w:w w:val="100"/>
        <w:position w:val="2"/>
        <w:sz w:val="18"/>
        <w:u w:val="none"/>
        <w14:ligatures w14:val="none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11131C" w:themeColor="text1"/>
      </w:rPr>
    </w:lvl>
    <w:lvl w:ilvl="2" w:tplc="FFFFFFFF">
      <w:start w:val="1"/>
      <w:numFmt w:val="bullet"/>
      <w:lvlText w:val="–"/>
      <w:lvlJc w:val="left"/>
      <w:pPr>
        <w:ind w:left="2160" w:hanging="360"/>
      </w:pPr>
      <w:rPr>
        <w:rFonts w:ascii="Century Gothic" w:hAnsi="Century Gothic" w:hint="default"/>
        <w:color w:val="11131C" w:themeColor="text1"/>
      </w:rPr>
    </w:lvl>
    <w:lvl w:ilvl="3" w:tplc="241A6B52">
      <w:start w:val="1"/>
      <w:numFmt w:val="bullet"/>
      <w:lvlText w:val="–"/>
      <w:lvlJc w:val="left"/>
      <w:pPr>
        <w:ind w:left="2880" w:hanging="360"/>
      </w:pPr>
      <w:rPr>
        <w:rFonts w:ascii="Century Gothic" w:hAnsi="Century Gothic" w:hint="default"/>
        <w:b w:val="0"/>
        <w:i w:val="0"/>
        <w:color w:val="11131C" w:themeColor="text1"/>
        <w:spacing w:val="0"/>
        <w:w w:val="100"/>
        <w:position w:val="2"/>
        <w:sz w:val="18"/>
        <w:u w:val="none"/>
        <w14:ligatures w14:val="none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44190"/>
    <w:multiLevelType w:val="multilevel"/>
    <w:tmpl w:val="749A9238"/>
    <w:styleLink w:val="CurrentList2"/>
    <w:lvl w:ilvl="0">
      <w:start w:val="1"/>
      <w:numFmt w:val="bullet"/>
      <w:lvlText w:val="—"/>
      <w:lvlJc w:val="left"/>
      <w:pPr>
        <w:ind w:left="72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06B1E"/>
    <w:multiLevelType w:val="hybridMultilevel"/>
    <w:tmpl w:val="425C316E"/>
    <w:lvl w:ilvl="0" w:tplc="FFFFFFFF">
      <w:start w:val="1"/>
      <w:numFmt w:val="bullet"/>
      <w:lvlText w:val="—"/>
      <w:lvlJc w:val="left"/>
      <w:pPr>
        <w:ind w:left="72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1" w:tplc="DE40C07A">
      <w:start w:val="1"/>
      <w:numFmt w:val="bullet"/>
      <w:lvlText w:val="—"/>
      <w:lvlJc w:val="left"/>
      <w:pPr>
        <w:ind w:left="144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324878">
    <w:abstractNumId w:val="11"/>
  </w:num>
  <w:num w:numId="2" w16cid:durableId="946160490">
    <w:abstractNumId w:val="17"/>
  </w:num>
  <w:num w:numId="3" w16cid:durableId="639072961">
    <w:abstractNumId w:val="13"/>
  </w:num>
  <w:num w:numId="4" w16cid:durableId="713846650">
    <w:abstractNumId w:val="14"/>
  </w:num>
  <w:num w:numId="5" w16cid:durableId="2138331723">
    <w:abstractNumId w:val="16"/>
  </w:num>
  <w:num w:numId="6" w16cid:durableId="1546140120">
    <w:abstractNumId w:val="12"/>
  </w:num>
  <w:num w:numId="7" w16cid:durableId="682322668">
    <w:abstractNumId w:val="10"/>
  </w:num>
  <w:num w:numId="8" w16cid:durableId="26804777">
    <w:abstractNumId w:val="15"/>
  </w:num>
  <w:num w:numId="9" w16cid:durableId="1928269330">
    <w:abstractNumId w:val="0"/>
  </w:num>
  <w:num w:numId="10" w16cid:durableId="1748727190">
    <w:abstractNumId w:val="1"/>
  </w:num>
  <w:num w:numId="11" w16cid:durableId="1501238445">
    <w:abstractNumId w:val="2"/>
  </w:num>
  <w:num w:numId="12" w16cid:durableId="1766615178">
    <w:abstractNumId w:val="3"/>
  </w:num>
  <w:num w:numId="13" w16cid:durableId="1084960352">
    <w:abstractNumId w:val="8"/>
  </w:num>
  <w:num w:numId="14" w16cid:durableId="1961761650">
    <w:abstractNumId w:val="4"/>
  </w:num>
  <w:num w:numId="15" w16cid:durableId="1551963495">
    <w:abstractNumId w:val="5"/>
  </w:num>
  <w:num w:numId="16" w16cid:durableId="1060320737">
    <w:abstractNumId w:val="6"/>
  </w:num>
  <w:num w:numId="17" w16cid:durableId="1444376027">
    <w:abstractNumId w:val="7"/>
  </w:num>
  <w:num w:numId="18" w16cid:durableId="441995285">
    <w:abstractNumId w:val="9"/>
  </w:num>
  <w:num w:numId="19" w16cid:durableId="1461412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FF"/>
    <w:rsid w:val="00010679"/>
    <w:rsid w:val="00016C46"/>
    <w:rsid w:val="0002732C"/>
    <w:rsid w:val="0004565A"/>
    <w:rsid w:val="00072ECD"/>
    <w:rsid w:val="000A6985"/>
    <w:rsid w:val="000D60AC"/>
    <w:rsid w:val="000F06E1"/>
    <w:rsid w:val="00123DF3"/>
    <w:rsid w:val="00146E31"/>
    <w:rsid w:val="00183D57"/>
    <w:rsid w:val="001B17E3"/>
    <w:rsid w:val="001C10A4"/>
    <w:rsid w:val="00201A5F"/>
    <w:rsid w:val="002167DD"/>
    <w:rsid w:val="0024010E"/>
    <w:rsid w:val="00283F79"/>
    <w:rsid w:val="002D3144"/>
    <w:rsid w:val="0030159A"/>
    <w:rsid w:val="00316C53"/>
    <w:rsid w:val="0032082D"/>
    <w:rsid w:val="00331AFC"/>
    <w:rsid w:val="003428AD"/>
    <w:rsid w:val="00370928"/>
    <w:rsid w:val="003A3D82"/>
    <w:rsid w:val="003E3E73"/>
    <w:rsid w:val="004142E9"/>
    <w:rsid w:val="00423BE4"/>
    <w:rsid w:val="00435DCD"/>
    <w:rsid w:val="00481909"/>
    <w:rsid w:val="00487917"/>
    <w:rsid w:val="004A3084"/>
    <w:rsid w:val="004C1BEC"/>
    <w:rsid w:val="004C4E52"/>
    <w:rsid w:val="005175ED"/>
    <w:rsid w:val="00554B7B"/>
    <w:rsid w:val="005C0237"/>
    <w:rsid w:val="00633C1A"/>
    <w:rsid w:val="0064052D"/>
    <w:rsid w:val="00674637"/>
    <w:rsid w:val="00676338"/>
    <w:rsid w:val="006B290F"/>
    <w:rsid w:val="006B4402"/>
    <w:rsid w:val="006D0171"/>
    <w:rsid w:val="006E15F6"/>
    <w:rsid w:val="006F27C4"/>
    <w:rsid w:val="006F753C"/>
    <w:rsid w:val="0071537E"/>
    <w:rsid w:val="007334F7"/>
    <w:rsid w:val="00735635"/>
    <w:rsid w:val="00753316"/>
    <w:rsid w:val="00754F65"/>
    <w:rsid w:val="00763F51"/>
    <w:rsid w:val="00772539"/>
    <w:rsid w:val="00783F14"/>
    <w:rsid w:val="007A0BB8"/>
    <w:rsid w:val="007B665C"/>
    <w:rsid w:val="007E117E"/>
    <w:rsid w:val="008127AF"/>
    <w:rsid w:val="00831378"/>
    <w:rsid w:val="00884269"/>
    <w:rsid w:val="0088552C"/>
    <w:rsid w:val="008A2CD1"/>
    <w:rsid w:val="008D15BA"/>
    <w:rsid w:val="008E21C6"/>
    <w:rsid w:val="009014AD"/>
    <w:rsid w:val="00922A16"/>
    <w:rsid w:val="009477FE"/>
    <w:rsid w:val="0095145F"/>
    <w:rsid w:val="0098016D"/>
    <w:rsid w:val="00993CB2"/>
    <w:rsid w:val="0099460E"/>
    <w:rsid w:val="009A013C"/>
    <w:rsid w:val="009C246A"/>
    <w:rsid w:val="00A75C4D"/>
    <w:rsid w:val="00A8301E"/>
    <w:rsid w:val="00A93C3C"/>
    <w:rsid w:val="00A97BFF"/>
    <w:rsid w:val="00AB6477"/>
    <w:rsid w:val="00AD4AD5"/>
    <w:rsid w:val="00AE3309"/>
    <w:rsid w:val="00B04DAF"/>
    <w:rsid w:val="00B30F9F"/>
    <w:rsid w:val="00B43376"/>
    <w:rsid w:val="00B56D6D"/>
    <w:rsid w:val="00B664A2"/>
    <w:rsid w:val="00C944E5"/>
    <w:rsid w:val="00C979DB"/>
    <w:rsid w:val="00CA3E91"/>
    <w:rsid w:val="00CD4263"/>
    <w:rsid w:val="00CE46ED"/>
    <w:rsid w:val="00D054CE"/>
    <w:rsid w:val="00D068C4"/>
    <w:rsid w:val="00D225C2"/>
    <w:rsid w:val="00D52105"/>
    <w:rsid w:val="00D65EB1"/>
    <w:rsid w:val="00D76233"/>
    <w:rsid w:val="00DA0DBC"/>
    <w:rsid w:val="00DE4B2A"/>
    <w:rsid w:val="00E062C4"/>
    <w:rsid w:val="00E179C8"/>
    <w:rsid w:val="00E22084"/>
    <w:rsid w:val="00E2580C"/>
    <w:rsid w:val="00E32249"/>
    <w:rsid w:val="00E45225"/>
    <w:rsid w:val="00E479FE"/>
    <w:rsid w:val="00EA5FB3"/>
    <w:rsid w:val="00EB3B73"/>
    <w:rsid w:val="00EE194E"/>
    <w:rsid w:val="00EF2117"/>
    <w:rsid w:val="00F01832"/>
    <w:rsid w:val="00F148CE"/>
    <w:rsid w:val="00F2276A"/>
    <w:rsid w:val="00F2287F"/>
    <w:rsid w:val="00F24100"/>
    <w:rsid w:val="00F31E79"/>
    <w:rsid w:val="00F66E28"/>
    <w:rsid w:val="00F9368E"/>
    <w:rsid w:val="00F93B8F"/>
    <w:rsid w:val="00F95FA9"/>
    <w:rsid w:val="00FB4A65"/>
    <w:rsid w:val="00FC301A"/>
    <w:rsid w:val="00FD5A12"/>
    <w:rsid w:val="00FE2E99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969E2"/>
  <w15:chartTrackingRefBased/>
  <w15:docId w15:val="{46B4E83F-A7E8-EE42-9178-F401FDD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BFF"/>
    <w:rPr>
      <w:lang w:val="es-ES_tradnl"/>
    </w:rPr>
  </w:style>
  <w:style w:type="paragraph" w:styleId="Ttulo1">
    <w:name w:val="heading 1"/>
    <w:next w:val="Normal"/>
    <w:link w:val="Ttulo1Car"/>
    <w:autoRedefine/>
    <w:uiPriority w:val="9"/>
    <w:qFormat/>
    <w:rsid w:val="00123DF3"/>
    <w:pPr>
      <w:keepNext/>
      <w:keepLines/>
      <w:suppressAutoHyphens/>
      <w:spacing w:before="240" w:after="240" w:line="340" w:lineRule="exact"/>
      <w:outlineLvl w:val="0"/>
    </w:pPr>
    <w:rPr>
      <w:rFonts w:asciiTheme="majorHAnsi" w:eastAsiaTheme="majorEastAsia" w:hAnsiTheme="majorHAnsi" w:cstheme="majorBidi"/>
      <w:b/>
      <w:color w:val="11131C" w:themeColor="text1"/>
      <w:sz w:val="36"/>
      <w:szCs w:val="32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123DF3"/>
    <w:pPr>
      <w:keepNext/>
      <w:keepLines/>
      <w:spacing w:before="240" w:after="120" w:line="260" w:lineRule="exact"/>
      <w:outlineLvl w:val="1"/>
    </w:pPr>
    <w:rPr>
      <w:rFonts w:asciiTheme="majorHAnsi" w:eastAsiaTheme="majorEastAsia" w:hAnsiTheme="majorHAnsi" w:cstheme="majorBidi"/>
      <w:b/>
      <w:color w:val="11131C" w:themeColor="text1"/>
      <w:sz w:val="28"/>
      <w:szCs w:val="26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123DF3"/>
    <w:pPr>
      <w:spacing w:before="40" w:after="0"/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FE2E99"/>
    <w:pPr>
      <w:keepNext/>
      <w:keepLines/>
      <w:suppressAutoHyphens/>
      <w:spacing w:before="40" w:line="300" w:lineRule="exact"/>
      <w:outlineLvl w:val="3"/>
    </w:pPr>
    <w:rPr>
      <w:rFonts w:asciiTheme="majorHAnsi" w:eastAsiaTheme="majorEastAsia" w:hAnsiTheme="majorHAnsi" w:cstheme="majorBidi"/>
      <w:i/>
      <w:iCs/>
      <w:color w:val="FF1628" w:themeColor="accent1"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FE2E99"/>
    <w:rPr>
      <w:rFonts w:asciiTheme="majorHAnsi" w:eastAsiaTheme="majorEastAsia" w:hAnsiTheme="majorHAnsi" w:cstheme="majorBidi"/>
      <w:i/>
      <w:iCs/>
      <w:color w:val="FF1628" w:themeColor="accent1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AB6477"/>
    <w:pPr>
      <w:tabs>
        <w:tab w:val="center" w:pos="4680"/>
        <w:tab w:val="right" w:pos="9360"/>
      </w:tabs>
      <w:suppressAutoHyphens/>
    </w:pPr>
    <w:rPr>
      <w:rFonts w:eastAsiaTheme="minorEastAsia"/>
      <w:sz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E2E99"/>
    <w:pPr>
      <w:tabs>
        <w:tab w:val="center" w:pos="4680"/>
        <w:tab w:val="right" w:pos="9360"/>
      </w:tabs>
      <w:suppressAutoHyphens/>
      <w:spacing w:before="160" w:after="160" w:line="300" w:lineRule="exact"/>
    </w:pPr>
    <w:rPr>
      <w:rFonts w:eastAsiaTheme="minorEastAsia"/>
      <w:color w:val="879399" w:themeColor="accent4"/>
      <w:sz w:val="15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E99"/>
    <w:rPr>
      <w:color w:val="879399" w:themeColor="accent4"/>
      <w:sz w:val="15"/>
    </w:rPr>
  </w:style>
  <w:style w:type="character" w:customStyle="1" w:styleId="Ttulo3Car">
    <w:name w:val="Título 3 Car"/>
    <w:basedOn w:val="Fuentedeprrafopredeter"/>
    <w:link w:val="Ttulo3"/>
    <w:uiPriority w:val="9"/>
    <w:rsid w:val="00123DF3"/>
    <w:rPr>
      <w:rFonts w:asciiTheme="majorHAnsi" w:eastAsiaTheme="majorEastAsia" w:hAnsiTheme="majorHAnsi" w:cstheme="majorBidi"/>
      <w:b/>
      <w:color w:val="11131C" w:themeColor="text1"/>
      <w:sz w:val="22"/>
      <w:szCs w:val="26"/>
    </w:rPr>
  </w:style>
  <w:style w:type="character" w:customStyle="1" w:styleId="EncabezadoCar">
    <w:name w:val="Encabezado Car"/>
    <w:basedOn w:val="Fuentedeprrafopredeter"/>
    <w:link w:val="Encabezado"/>
    <w:uiPriority w:val="99"/>
    <w:rsid w:val="00AB6477"/>
    <w:rPr>
      <w:sz w:val="18"/>
    </w:rPr>
  </w:style>
  <w:style w:type="character" w:styleId="Fuerte">
    <w:name w:val="Strong"/>
    <w:basedOn w:val="Fuentedeprrafopredeter"/>
    <w:uiPriority w:val="22"/>
    <w:qFormat/>
    <w:rsid w:val="002D3144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123DF3"/>
    <w:rPr>
      <w:rFonts w:asciiTheme="majorHAnsi" w:eastAsiaTheme="majorEastAsia" w:hAnsiTheme="majorHAnsi" w:cstheme="majorBidi"/>
      <w:b/>
      <w:color w:val="11131C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23DF3"/>
    <w:rPr>
      <w:rFonts w:asciiTheme="majorHAnsi" w:eastAsiaTheme="majorEastAsia" w:hAnsiTheme="majorHAnsi" w:cstheme="majorBidi"/>
      <w:b/>
      <w:color w:val="11131C" w:themeColor="text1"/>
      <w:sz w:val="28"/>
      <w:szCs w:val="2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FF35E4"/>
    <w:pPr>
      <w:numPr>
        <w:ilvl w:val="1"/>
      </w:numPr>
      <w:suppressAutoHyphens/>
      <w:spacing w:before="160" w:after="200" w:line="240" w:lineRule="exact"/>
    </w:pPr>
    <w:rPr>
      <w:rFonts w:eastAsiaTheme="minorEastAsia" w:cs="Times New Roman (Body CS)"/>
      <w:color w:val="879399" w:themeColor="accent4"/>
      <w:sz w:val="20"/>
      <w:szCs w:val="22"/>
      <w:lang w:val="en-US"/>
    </w:rPr>
  </w:style>
  <w:style w:type="character" w:customStyle="1" w:styleId="SubttuloCar">
    <w:name w:val="Subtítulo Car"/>
    <w:basedOn w:val="Fuentedeprrafopredeter"/>
    <w:link w:val="Subttulo"/>
    <w:uiPriority w:val="11"/>
    <w:rsid w:val="00FF35E4"/>
    <w:rPr>
      <w:rFonts w:eastAsiaTheme="minorEastAsia" w:cs="Times New Roman (Body CS)"/>
      <w:color w:val="879399" w:themeColor="accent4"/>
      <w:sz w:val="20"/>
      <w:szCs w:val="22"/>
    </w:rPr>
  </w:style>
  <w:style w:type="character" w:styleId="nfasissutil">
    <w:name w:val="Subtle Emphasis"/>
    <w:basedOn w:val="Fuentedeprrafopredeter"/>
    <w:uiPriority w:val="19"/>
    <w:rsid w:val="008127AF"/>
    <w:rPr>
      <w:rFonts w:asciiTheme="minorHAnsi" w:hAnsiTheme="minorHAnsi"/>
      <w:i/>
      <w:iCs/>
      <w:color w:val="11131C" w:themeColor="text1"/>
      <w:sz w:val="22"/>
    </w:rPr>
  </w:style>
  <w:style w:type="character" w:styleId="nfasis">
    <w:name w:val="Emphasis"/>
    <w:basedOn w:val="Fuentedeprrafopredeter"/>
    <w:uiPriority w:val="20"/>
    <w:qFormat/>
    <w:rsid w:val="004142E9"/>
    <w:rPr>
      <w:i/>
      <w:iCs/>
    </w:rPr>
  </w:style>
  <w:style w:type="paragraph" w:styleId="Listaconnmeros">
    <w:name w:val="List Number"/>
    <w:basedOn w:val="Normal"/>
    <w:autoRedefine/>
    <w:uiPriority w:val="99"/>
    <w:unhideWhenUsed/>
    <w:qFormat/>
    <w:rsid w:val="00FF35E4"/>
    <w:pPr>
      <w:numPr>
        <w:numId w:val="13"/>
      </w:numPr>
      <w:suppressAutoHyphens/>
      <w:spacing w:before="160" w:after="160" w:line="320" w:lineRule="exact"/>
      <w:contextualSpacing/>
    </w:pPr>
    <w:rPr>
      <w:rFonts w:eastAsiaTheme="minorEastAsia"/>
      <w:sz w:val="22"/>
      <w:lang w:val="en-US"/>
    </w:rPr>
  </w:style>
  <w:style w:type="numbering" w:customStyle="1" w:styleId="CurrentList1">
    <w:name w:val="Current List1"/>
    <w:uiPriority w:val="99"/>
    <w:rsid w:val="00676338"/>
    <w:pPr>
      <w:numPr>
        <w:numId w:val="3"/>
      </w:numPr>
    </w:pPr>
  </w:style>
  <w:style w:type="numbering" w:customStyle="1" w:styleId="CurrentList2">
    <w:name w:val="Current List2"/>
    <w:uiPriority w:val="99"/>
    <w:rsid w:val="00676338"/>
    <w:pPr>
      <w:numPr>
        <w:numId w:val="5"/>
      </w:numPr>
    </w:pPr>
  </w:style>
  <w:style w:type="character" w:styleId="Nmerodepgina">
    <w:name w:val="page number"/>
    <w:basedOn w:val="Fuentedeprrafopredeter"/>
    <w:uiPriority w:val="99"/>
    <w:semiHidden/>
    <w:unhideWhenUsed/>
    <w:rsid w:val="00922A16"/>
  </w:style>
  <w:style w:type="numbering" w:customStyle="1" w:styleId="CurrentList3">
    <w:name w:val="Current List3"/>
    <w:uiPriority w:val="99"/>
    <w:rsid w:val="0064052D"/>
    <w:pPr>
      <w:numPr>
        <w:numId w:val="6"/>
      </w:numPr>
    </w:pPr>
  </w:style>
  <w:style w:type="numbering" w:customStyle="1" w:styleId="CurrentList4">
    <w:name w:val="Current List4"/>
    <w:uiPriority w:val="99"/>
    <w:rsid w:val="0064052D"/>
    <w:pPr>
      <w:numPr>
        <w:numId w:val="7"/>
      </w:numPr>
    </w:pPr>
  </w:style>
  <w:style w:type="character" w:styleId="Hipervnculo">
    <w:name w:val="Hyperlink"/>
    <w:basedOn w:val="Fuentedeprrafopredeter"/>
    <w:uiPriority w:val="99"/>
    <w:unhideWhenUsed/>
    <w:rsid w:val="00283F79"/>
    <w:rPr>
      <w:color w:val="FF1628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3F7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83F79"/>
    <w:rPr>
      <w:color w:val="FF404E" w:themeColor="followedHyperlink"/>
      <w:u w:val="single"/>
    </w:rPr>
  </w:style>
  <w:style w:type="paragraph" w:styleId="Listaconvietas">
    <w:name w:val="List Bullet"/>
    <w:basedOn w:val="Normal"/>
    <w:autoRedefine/>
    <w:uiPriority w:val="99"/>
    <w:unhideWhenUsed/>
    <w:qFormat/>
    <w:rsid w:val="00123DF3"/>
    <w:pPr>
      <w:numPr>
        <w:numId w:val="19"/>
      </w:numPr>
      <w:suppressAutoHyphens/>
      <w:spacing w:before="200" w:after="200" w:line="320" w:lineRule="exact"/>
      <w:contextualSpacing/>
    </w:pPr>
    <w:rPr>
      <w:rFonts w:eastAsiaTheme="minorEastAsia"/>
      <w:sz w:val="22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54F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greatplacetoworkcarca.com/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ptw_2022">
  <a:themeElements>
    <a:clrScheme name="GPTW 2022">
      <a:dk1>
        <a:srgbClr val="11131C"/>
      </a:dk1>
      <a:lt1>
        <a:srgbClr val="FFFFFF"/>
      </a:lt1>
      <a:dk2>
        <a:srgbClr val="11131C"/>
      </a:dk2>
      <a:lt2>
        <a:srgbClr val="F5F8F6"/>
      </a:lt2>
      <a:accent1>
        <a:srgbClr val="FF1628"/>
      </a:accent1>
      <a:accent2>
        <a:srgbClr val="262C33"/>
      </a:accent2>
      <a:accent3>
        <a:srgbClr val="515C63"/>
      </a:accent3>
      <a:accent4>
        <a:srgbClr val="879399"/>
      </a:accent4>
      <a:accent5>
        <a:srgbClr val="A2AFB2"/>
      </a:accent5>
      <a:accent6>
        <a:srgbClr val="C2CCCC"/>
      </a:accent6>
      <a:hlink>
        <a:srgbClr val="FF1628"/>
      </a:hlink>
      <a:folHlink>
        <a:srgbClr val="FF404E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ptw_2022" id="{46B59EBC-5770-974B-BADD-563B6E5BEEEB}" vid="{50DF04C1-43A0-4549-A686-D83C3484C1F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909f22-30b8-453f-9bb0-f8bec2b875bc">
      <Terms xmlns="http://schemas.microsoft.com/office/infopath/2007/PartnerControls"/>
    </lcf76f155ced4ddcb4097134ff3c332f>
    <TaxCatchAll xmlns="9ba40518-0a9b-44c8-a888-bdc23036c7ce" xsi:nil="true"/>
    <Status xmlns="80909f22-30b8-453f-9bb0-f8bec2b875bc">Done</Status>
    <Image xmlns="80909f22-30b8-453f-9bb0-f8bec2b875bc">
      <Url xsi:nil="true"/>
      <Description xsi:nil="true"/>
    </Image>
    <CountryNotes xmlns="80909f22-30b8-453f-9bb0-f8bec2b875bc" xsi:nil="true"/>
    <NotesonListData xmlns="80909f22-30b8-453f-9bb0-f8bec2b875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0FD49F0A5C4444A4A7F818E1F6E74D" ma:contentTypeVersion="22" ma:contentTypeDescription="Crear nuevo documento." ma:contentTypeScope="" ma:versionID="aa971ce0970951b37869993f4194f81f">
  <xsd:schema xmlns:xsd="http://www.w3.org/2001/XMLSchema" xmlns:xs="http://www.w3.org/2001/XMLSchema" xmlns:p="http://schemas.microsoft.com/office/2006/metadata/properties" xmlns:ns2="80909f22-30b8-453f-9bb0-f8bec2b875bc" xmlns:ns3="9ba40518-0a9b-44c8-a888-bdc23036c7ce" targetNamespace="http://schemas.microsoft.com/office/2006/metadata/properties" ma:root="true" ma:fieldsID="25f6ab8c3e1413df504aa9a85d803f1a" ns2:_="" ns3:_="">
    <xsd:import namespace="80909f22-30b8-453f-9bb0-f8bec2b875bc"/>
    <xsd:import namespace="9ba40518-0a9b-44c8-a888-bdc23036c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Image" minOccurs="0"/>
                <xsd:element ref="ns2:MediaLengthInSeconds" minOccurs="0"/>
                <xsd:element ref="ns2:CountryNotes" minOccurs="0"/>
                <xsd:element ref="ns2:lcf76f155ced4ddcb4097134ff3c332f" minOccurs="0"/>
                <xsd:element ref="ns3:TaxCatchAll" minOccurs="0"/>
                <xsd:element ref="ns2:Status" minOccurs="0"/>
                <xsd:element ref="ns2:MediaServiceSearchProperties" minOccurs="0"/>
                <xsd:element ref="ns2:MediaServiceObjectDetectorVersions" minOccurs="0"/>
                <xsd:element ref="ns2:NotesonList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09f22-30b8-453f-9bb0-f8bec2b8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0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ountryNotes" ma:index="22" nillable="true" ma:displayName="Notes" ma:format="Dropdown" ma:internalName="CountryNotes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50d09bf-760d-4df0-b0aa-c9c902924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6" nillable="true" ma:displayName="Status" ma:default="Done" ma:format="Dropdown" ma:internalName="Status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onListData" ma:index="29" nillable="true" ma:displayName="Notes on List Data" ma:format="Dropdown" ma:internalName="NotesonListDat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40518-0a9b-44c8-a888-bdc23036c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69200f7-5fdf-4c73-9289-01c118c27e8e}" ma:internalName="TaxCatchAll" ma:showField="CatchAllData" ma:web="9ba40518-0a9b-44c8-a888-bdc23036c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A2462-1061-4B70-B0B0-59E673E51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D9230-46CC-4E66-A0CB-0E32C79AC003}">
  <ds:schemaRefs>
    <ds:schemaRef ds:uri="http://schemas.microsoft.com/office/2006/metadata/properties"/>
    <ds:schemaRef ds:uri="http://schemas.microsoft.com/office/infopath/2007/PartnerControls"/>
    <ds:schemaRef ds:uri="80909f22-30b8-453f-9bb0-f8bec2b875bc"/>
    <ds:schemaRef ds:uri="9ba40518-0a9b-44c8-a888-bdc23036c7ce"/>
  </ds:schemaRefs>
</ds:datastoreItem>
</file>

<file path=customXml/itemProps3.xml><?xml version="1.0" encoding="utf-8"?>
<ds:datastoreItem xmlns:ds="http://schemas.openxmlformats.org/officeDocument/2006/customXml" ds:itemID="{9661F276-EECF-41FB-91A9-E87B9D28D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09f22-30b8-453f-9bb0-f8bec2b875bc"/>
    <ds:schemaRef ds:uri="9ba40518-0a9b-44c8-a888-bdc23036c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687</Words>
  <Characters>3826</Characters>
  <Application>Microsoft Office Word</Application>
  <DocSecurity>0</DocSecurity>
  <Lines>70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Great Place To Work</Company>
  <LinksUpToDate>false</LinksUpToDate>
  <CharactersWithSpaces>4495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Luisana Perez Gayon</dc:creator>
  <cp:keywords/>
  <dc:description/>
  <cp:lastModifiedBy>Rolando Ponce</cp:lastModifiedBy>
  <cp:revision>3</cp:revision>
  <cp:lastPrinted>2022-07-25T19:06:00Z</cp:lastPrinted>
  <dcterms:created xsi:type="dcterms:W3CDTF">2026-04-16T16:36:00Z</dcterms:created>
  <dcterms:modified xsi:type="dcterms:W3CDTF">2026-04-16T17:14:00Z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0x010100520FD49F0A5C4444A4A7F818E1F6E74D</vt:lpwstr>
  </property>
  <property fmtid="{D5CDD505-2E9C-101B-9397-08002B2CF9AE}" pid="3" name="MediaServiceImageTags">
    <vt:lpwstr/>
  </property>
</Properties>
</file>