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D3A8" w14:textId="7B7F991D" w:rsidR="00754F65" w:rsidRPr="00585B02" w:rsidRDefault="00585B02" w:rsidP="00585B02">
      <w:pPr>
        <w:spacing w:before="200" w:after="200"/>
        <w:jc w:val="center"/>
        <w:rPr>
          <w:rFonts w:ascii="Gilroy" w:eastAsia="Arial" w:hAnsi="Gilroy" w:cs="Arial"/>
          <w:b/>
          <w:bCs/>
          <w:lang w:val="es-CR"/>
        </w:rPr>
      </w:pPr>
      <w:bookmarkStart w:id="0" w:name="_Hlk4756963"/>
      <w:r w:rsidRPr="009F3CDA">
        <w:rPr>
          <w:rFonts w:ascii="Gilroy Bold" w:hAnsi="Gilroy Bold"/>
          <w:b/>
          <w:bCs/>
          <w:sz w:val="32"/>
          <w:szCs w:val="32"/>
        </w:rPr>
        <w:t xml:space="preserve">Quince empresas dominicanas </w:t>
      </w:r>
      <w:r w:rsidR="009F3CDA" w:rsidRPr="009F3CDA">
        <w:rPr>
          <w:rFonts w:ascii="Gilroy Bold" w:hAnsi="Gilroy Bold"/>
          <w:b/>
          <w:bCs/>
          <w:sz w:val="32"/>
          <w:szCs w:val="32"/>
        </w:rPr>
        <w:t xml:space="preserve">lideran </w:t>
      </w:r>
      <w:r w:rsidR="00CA4CE6">
        <w:rPr>
          <w:rFonts w:ascii="Gilroy Bold" w:hAnsi="Gilroy Bold"/>
          <w:b/>
          <w:bCs/>
          <w:sz w:val="32"/>
          <w:szCs w:val="32"/>
        </w:rPr>
        <w:t>el listado</w:t>
      </w:r>
      <w:r w:rsidR="009F3CDA" w:rsidRPr="009F3CDA">
        <w:rPr>
          <w:rFonts w:ascii="Gilroy Bold" w:hAnsi="Gilroy Bold"/>
          <w:b/>
          <w:bCs/>
          <w:sz w:val="32"/>
          <w:szCs w:val="32"/>
        </w:rPr>
        <w:t xml:space="preserve"> de</w:t>
      </w:r>
      <w:r w:rsidRPr="009F3CDA">
        <w:rPr>
          <w:rFonts w:ascii="Gilroy Bold" w:hAnsi="Gilroy Bold"/>
          <w:b/>
          <w:bCs/>
          <w:sz w:val="32"/>
          <w:szCs w:val="32"/>
        </w:rPr>
        <w:t xml:space="preserve"> Los Mejores Lugares para Trabajar® en</w:t>
      </w:r>
      <w:r w:rsidR="009F3CDA" w:rsidRPr="009F3CDA">
        <w:rPr>
          <w:rFonts w:ascii="Gilroy Bold" w:hAnsi="Gilroy Bold"/>
          <w:b/>
          <w:bCs/>
          <w:sz w:val="32"/>
          <w:szCs w:val="32"/>
        </w:rPr>
        <w:t xml:space="preserve"> </w:t>
      </w:r>
      <w:r w:rsidRPr="009F3CDA">
        <w:rPr>
          <w:rFonts w:ascii="Gilroy Bold" w:hAnsi="Gilroy Bold"/>
          <w:b/>
          <w:bCs/>
          <w:sz w:val="32"/>
          <w:szCs w:val="32"/>
        </w:rPr>
        <w:t>Caribe 2026</w:t>
      </w:r>
    </w:p>
    <w:bookmarkEnd w:id="0"/>
    <w:p w14:paraId="5909353E" w14:textId="7A7FCAD4" w:rsidR="009F3CDA" w:rsidRPr="009F3CDA" w:rsidRDefault="009F3CDA" w:rsidP="009F3CDA">
      <w:pPr>
        <w:pStyle w:val="Prrafodelista"/>
        <w:numPr>
          <w:ilvl w:val="0"/>
          <w:numId w:val="26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i/>
          <w:iCs/>
          <w:lang w:val="es-SV"/>
        </w:rPr>
        <w:t xml:space="preserve">Durante el período de evaluación 2025, Great Place To Work® impactó a más de 200,000 colaboradores pertenecientes a más de 325 </w:t>
      </w:r>
      <w:r w:rsidR="00CA4CE6">
        <w:rPr>
          <w:rFonts w:ascii="Gilroy" w:eastAsia="Arial" w:hAnsi="Gilroy" w:cs="Arial"/>
          <w:i/>
          <w:iCs/>
          <w:lang w:val="es-SV"/>
        </w:rPr>
        <w:t>organizaciones</w:t>
      </w:r>
      <w:r>
        <w:rPr>
          <w:rFonts w:ascii="Gilroy" w:eastAsia="Arial" w:hAnsi="Gilroy" w:cs="Arial"/>
          <w:i/>
          <w:iCs/>
          <w:lang w:val="es-SV"/>
        </w:rPr>
        <w:t xml:space="preserve"> en 16 países.</w:t>
      </w:r>
    </w:p>
    <w:p w14:paraId="5B01E6B6" w14:textId="4F6E6225" w:rsidR="009F3CDA" w:rsidRDefault="00585B02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585B02">
        <w:rPr>
          <w:rFonts w:ascii="Gilroy" w:eastAsia="Arial" w:hAnsi="Gilroy" w:cs="Arial"/>
          <w:lang w:val="es-SV"/>
        </w:rPr>
        <w:t xml:space="preserve">La Romana, República Dominicana, 1 de mayo, 2026 – </w:t>
      </w:r>
      <w:r w:rsidR="009F3CDA">
        <w:rPr>
          <w:rFonts w:ascii="Gilroy" w:eastAsia="Arial" w:hAnsi="Gilroy" w:cs="Arial"/>
          <w:lang w:val="es-SV"/>
        </w:rPr>
        <w:t xml:space="preserve">Un grupo de quince </w:t>
      </w:r>
      <w:r w:rsidR="00CA4CE6">
        <w:rPr>
          <w:rFonts w:ascii="Gilroy" w:eastAsia="Arial" w:hAnsi="Gilroy" w:cs="Arial"/>
          <w:lang w:val="es-SV"/>
        </w:rPr>
        <w:t>organizaciones</w:t>
      </w:r>
      <w:r w:rsidR="009F3CDA">
        <w:rPr>
          <w:rFonts w:ascii="Gilroy" w:eastAsia="Arial" w:hAnsi="Gilroy" w:cs="Arial"/>
          <w:lang w:val="es-SV"/>
        </w:rPr>
        <w:t xml:space="preserve"> dominicanas, entre ellas </w:t>
      </w:r>
      <w:r w:rsidR="009F3CDA" w:rsidRPr="009F3CDA">
        <w:rPr>
          <w:rFonts w:ascii="Gilroy" w:eastAsia="Arial" w:hAnsi="Gilroy" w:cs="Arial"/>
          <w:lang w:val="es-SV"/>
        </w:rPr>
        <w:t>Casa de Campo Resort &amp; Villas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Hilton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Asociación Popular de Ahorros y Préstamos (APAP)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GRUPO UNIVERSAL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DP World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GRUPO SID</w:t>
      </w:r>
      <w:r w:rsidR="009F3CDA">
        <w:rPr>
          <w:rFonts w:ascii="Gilroy" w:eastAsia="Arial" w:hAnsi="Gilroy" w:cs="Arial"/>
          <w:lang w:val="es-SV"/>
        </w:rPr>
        <w:t xml:space="preserve">, </w:t>
      </w:r>
      <w:r w:rsidR="009F3CDA" w:rsidRPr="009F3CDA">
        <w:rPr>
          <w:rFonts w:ascii="Gilroy" w:eastAsia="Arial" w:hAnsi="Gilroy" w:cs="Arial"/>
          <w:lang w:val="es-SV"/>
        </w:rPr>
        <w:t>Hyatt Hotels</w:t>
      </w:r>
      <w:r w:rsidR="009F3CDA">
        <w:rPr>
          <w:rFonts w:ascii="Gilroy" w:eastAsia="Arial" w:hAnsi="Gilroy" w:cs="Arial"/>
          <w:lang w:val="es-SV"/>
        </w:rPr>
        <w:t xml:space="preserve"> y </w:t>
      </w:r>
      <w:r w:rsidR="009F3CDA" w:rsidRPr="009F3CDA">
        <w:rPr>
          <w:rFonts w:ascii="Gilroy" w:eastAsia="Arial" w:hAnsi="Gilroy" w:cs="Arial"/>
          <w:lang w:val="es-SV"/>
        </w:rPr>
        <w:t>BANCO POPULAR DOMINICANO</w:t>
      </w:r>
      <w:r w:rsidR="009F3CDA">
        <w:rPr>
          <w:rFonts w:ascii="Gilroy" w:eastAsia="Arial" w:hAnsi="Gilroy" w:cs="Arial"/>
          <w:lang w:val="es-SV"/>
        </w:rPr>
        <w:t xml:space="preserve">, se posicionaron en el prestigioso </w:t>
      </w:r>
      <w:r w:rsidR="00CA4CE6">
        <w:rPr>
          <w:rFonts w:ascii="Gilroy" w:eastAsia="Arial" w:hAnsi="Gilroy" w:cs="Arial"/>
          <w:lang w:val="es-SV"/>
        </w:rPr>
        <w:t>listado</w:t>
      </w:r>
      <w:r w:rsidR="009F3CDA">
        <w:rPr>
          <w:rFonts w:ascii="Gilroy" w:eastAsia="Arial" w:hAnsi="Gilroy" w:cs="Arial"/>
          <w:lang w:val="es-SV"/>
        </w:rPr>
        <w:t xml:space="preserve"> de Los Mejores Lugares para Trabajar en Caribe 2026.</w:t>
      </w:r>
    </w:p>
    <w:p w14:paraId="6857C2C4" w14:textId="081EECF8" w:rsidR="009F3CDA" w:rsidRDefault="009F3CDA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 xml:space="preserve">Además, fueron reconocidas </w:t>
      </w:r>
      <w:r w:rsidRPr="009F3CDA">
        <w:rPr>
          <w:rFonts w:ascii="Gilroy" w:eastAsia="Arial" w:hAnsi="Gilroy" w:cs="Arial"/>
          <w:lang w:val="es-SV"/>
        </w:rPr>
        <w:t>Catalonia Hotels &amp; Resorts</w:t>
      </w:r>
      <w:r>
        <w:rPr>
          <w:rFonts w:ascii="Gilroy" w:eastAsia="Arial" w:hAnsi="Gilroy" w:cs="Arial"/>
          <w:lang w:val="es-SV"/>
        </w:rPr>
        <w:t xml:space="preserve">, </w:t>
      </w:r>
      <w:r w:rsidRPr="009F3CDA">
        <w:rPr>
          <w:rFonts w:ascii="Gilroy" w:eastAsia="Arial" w:hAnsi="Gilroy" w:cs="Arial"/>
          <w:lang w:val="es-SV"/>
        </w:rPr>
        <w:t>Alpha</w:t>
      </w:r>
      <w:r>
        <w:rPr>
          <w:rFonts w:ascii="Gilroy" w:eastAsia="Arial" w:hAnsi="Gilroy" w:cs="Arial"/>
          <w:lang w:val="es-SV"/>
        </w:rPr>
        <w:t xml:space="preserve">, </w:t>
      </w:r>
      <w:r w:rsidRPr="009F3CDA">
        <w:rPr>
          <w:rFonts w:ascii="Gilroy" w:eastAsia="Arial" w:hAnsi="Gilroy" w:cs="Arial"/>
          <w:lang w:val="es-SV"/>
        </w:rPr>
        <w:t>CEVALDOM, S.A.</w:t>
      </w:r>
      <w:r>
        <w:rPr>
          <w:rFonts w:ascii="Gilroy" w:eastAsia="Arial" w:hAnsi="Gilroy" w:cs="Arial"/>
          <w:lang w:val="es-SV"/>
        </w:rPr>
        <w:t xml:space="preserve">, </w:t>
      </w:r>
      <w:r w:rsidRPr="009F3CDA">
        <w:rPr>
          <w:rFonts w:ascii="Gilroy" w:eastAsia="Arial" w:hAnsi="Gilroy" w:cs="Arial"/>
          <w:lang w:val="es-SV"/>
        </w:rPr>
        <w:t>DHL</w:t>
      </w:r>
      <w:r>
        <w:rPr>
          <w:rFonts w:ascii="Gilroy" w:eastAsia="Arial" w:hAnsi="Gilroy" w:cs="Arial"/>
          <w:lang w:val="es-SV"/>
        </w:rPr>
        <w:t xml:space="preserve">, </w:t>
      </w:r>
      <w:r w:rsidRPr="009F3CDA">
        <w:rPr>
          <w:rFonts w:ascii="Gilroy" w:eastAsia="Arial" w:hAnsi="Gilroy" w:cs="Arial"/>
          <w:lang w:val="es-SV"/>
        </w:rPr>
        <w:t>PedidosYa</w:t>
      </w:r>
      <w:r>
        <w:rPr>
          <w:rFonts w:ascii="Gilroy" w:eastAsia="Arial" w:hAnsi="Gilroy" w:cs="Arial"/>
          <w:lang w:val="es-SV"/>
        </w:rPr>
        <w:t xml:space="preserve">, </w:t>
      </w:r>
      <w:r w:rsidRPr="009F3CDA">
        <w:rPr>
          <w:rFonts w:ascii="Gilroy" w:eastAsia="Arial" w:hAnsi="Gilroy" w:cs="Arial"/>
          <w:lang w:val="es-SV"/>
        </w:rPr>
        <w:t>Marriott International</w:t>
      </w:r>
      <w:r>
        <w:rPr>
          <w:rFonts w:ascii="Gilroy" w:eastAsia="Arial" w:hAnsi="Gilroy" w:cs="Arial"/>
          <w:lang w:val="es-SV"/>
        </w:rPr>
        <w:t xml:space="preserve"> y </w:t>
      </w:r>
      <w:r w:rsidRPr="009F3CDA">
        <w:rPr>
          <w:rFonts w:ascii="Gilroy" w:eastAsia="Arial" w:hAnsi="Gilroy" w:cs="Arial"/>
          <w:lang w:val="es-SV"/>
        </w:rPr>
        <w:t>Scotia Global Business Services (Dominican Republic), S.A.S.</w:t>
      </w:r>
      <w:r>
        <w:rPr>
          <w:rFonts w:ascii="Gilroy" w:eastAsia="Arial" w:hAnsi="Gilroy" w:cs="Arial"/>
          <w:lang w:val="es-SV"/>
        </w:rPr>
        <w:t>, consolidando al país como uno de los referentes regionales en cultura organizacional y experiencia del colaborador.</w:t>
      </w:r>
    </w:p>
    <w:p w14:paraId="189C8D5A" w14:textId="0876911B" w:rsidR="00585B02" w:rsidRPr="00585B02" w:rsidRDefault="009F3CDA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 xml:space="preserve">El listado, presentado por la </w:t>
      </w:r>
      <w:r w:rsidR="009D09D8">
        <w:rPr>
          <w:rFonts w:ascii="Gilroy" w:eastAsia="Arial" w:hAnsi="Gilroy" w:cs="Arial"/>
          <w:lang w:val="es-SV"/>
        </w:rPr>
        <w:t>autoridad</w:t>
      </w:r>
      <w:r>
        <w:rPr>
          <w:rFonts w:ascii="Gilroy" w:eastAsia="Arial" w:hAnsi="Gilroy" w:cs="Arial"/>
          <w:lang w:val="es-SV"/>
        </w:rPr>
        <w:t xml:space="preserve"> </w:t>
      </w:r>
      <w:r w:rsidR="009D09D8">
        <w:rPr>
          <w:rFonts w:ascii="Gilroy" w:eastAsia="Arial" w:hAnsi="Gilroy" w:cs="Arial"/>
          <w:lang w:val="es-SV"/>
        </w:rPr>
        <w:t>global en culturas de trabajo,</w:t>
      </w:r>
      <w:r>
        <w:rPr>
          <w:rFonts w:ascii="Gilroy" w:eastAsia="Arial" w:hAnsi="Gilroy" w:cs="Arial"/>
          <w:lang w:val="es-SV"/>
        </w:rPr>
        <w:t xml:space="preserve"> </w:t>
      </w:r>
      <w:r w:rsidR="00585B02" w:rsidRPr="009F3CDA">
        <w:rPr>
          <w:rFonts w:ascii="Gilroy" w:eastAsia="Arial" w:hAnsi="Gilroy" w:cs="Arial"/>
          <w:b/>
          <w:bCs/>
          <w:lang w:val="es-SV"/>
        </w:rPr>
        <w:t>Great Place To Work® Caribe &amp; Centroamérica</w:t>
      </w:r>
      <w:r w:rsidR="00585B02" w:rsidRPr="00585B02">
        <w:rPr>
          <w:rFonts w:ascii="Gilroy" w:eastAsia="Arial" w:hAnsi="Gilroy" w:cs="Arial"/>
          <w:lang w:val="es-SV"/>
        </w:rPr>
        <w:t xml:space="preserve">, </w:t>
      </w:r>
      <w:r>
        <w:rPr>
          <w:rFonts w:ascii="Gilroy" w:eastAsia="Arial" w:hAnsi="Gilroy" w:cs="Arial"/>
          <w:lang w:val="es-SV"/>
        </w:rPr>
        <w:t>destaca</w:t>
      </w:r>
      <w:r w:rsidR="00585B02" w:rsidRPr="009F3CDA">
        <w:rPr>
          <w:rFonts w:ascii="Gilroy" w:eastAsia="Arial" w:hAnsi="Gilroy" w:cs="Arial"/>
          <w:lang w:val="es-SV"/>
        </w:rPr>
        <w:t xml:space="preserve"> a 20 organizaciones</w:t>
      </w:r>
      <w:r w:rsidR="00585B02" w:rsidRPr="00585B02">
        <w:rPr>
          <w:rFonts w:ascii="Gilroy" w:eastAsia="Arial" w:hAnsi="Gilroy" w:cs="Arial"/>
          <w:lang w:val="es-SV"/>
        </w:rPr>
        <w:t xml:space="preserve"> que están </w:t>
      </w:r>
      <w:r>
        <w:rPr>
          <w:rFonts w:ascii="Gilroy" w:eastAsia="Arial" w:hAnsi="Gilroy" w:cs="Arial"/>
          <w:lang w:val="es-SV"/>
        </w:rPr>
        <w:t xml:space="preserve">redefiniendo la forma de trabajar en la región, apostando por entornos basados en </w:t>
      </w:r>
      <w:r w:rsidR="00585B02" w:rsidRPr="00585B02">
        <w:rPr>
          <w:rFonts w:ascii="Gilroy" w:eastAsia="Arial" w:hAnsi="Gilroy" w:cs="Arial"/>
          <w:lang w:val="es-SV"/>
        </w:rPr>
        <w:t xml:space="preserve">la confianza, </w:t>
      </w:r>
      <w:r>
        <w:rPr>
          <w:rFonts w:ascii="Gilroy" w:eastAsia="Arial" w:hAnsi="Gilroy" w:cs="Arial"/>
          <w:lang w:val="es-SV"/>
        </w:rPr>
        <w:t xml:space="preserve">la </w:t>
      </w:r>
      <w:r w:rsidR="00585B02" w:rsidRPr="00585B02">
        <w:rPr>
          <w:rFonts w:ascii="Gilroy" w:eastAsia="Arial" w:hAnsi="Gilroy" w:cs="Arial"/>
          <w:lang w:val="es-SV"/>
        </w:rPr>
        <w:t xml:space="preserve">equidad y </w:t>
      </w:r>
      <w:r>
        <w:rPr>
          <w:rFonts w:ascii="Gilroy" w:eastAsia="Arial" w:hAnsi="Gilroy" w:cs="Arial"/>
          <w:lang w:val="es-SV"/>
        </w:rPr>
        <w:t xml:space="preserve">el sentido </w:t>
      </w:r>
      <w:r w:rsidR="00585B02" w:rsidRPr="00585B02">
        <w:rPr>
          <w:rFonts w:ascii="Gilroy" w:eastAsia="Arial" w:hAnsi="Gilroy" w:cs="Arial"/>
          <w:lang w:val="es-SV"/>
        </w:rPr>
        <w:t>de pertenencia.</w:t>
      </w:r>
    </w:p>
    <w:p w14:paraId="48E7692C" w14:textId="05A526E0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AR"/>
        </w:rPr>
      </w:pPr>
      <w:r w:rsidRPr="00585B02">
        <w:rPr>
          <w:rFonts w:ascii="Gilroy" w:eastAsia="Arial" w:hAnsi="Gilroy" w:cs="Arial"/>
          <w:lang w:val="es-AR"/>
        </w:rPr>
        <w:t>“</w:t>
      </w:r>
      <w:r w:rsidR="009D09D8">
        <w:rPr>
          <w:rFonts w:ascii="Gilroy" w:eastAsia="Arial" w:hAnsi="Gilroy" w:cs="Arial"/>
          <w:lang w:val="es-AR"/>
        </w:rPr>
        <w:t xml:space="preserve">Estas </w:t>
      </w:r>
      <w:r w:rsidRPr="00585B02">
        <w:rPr>
          <w:rFonts w:ascii="Gilroy" w:eastAsia="Arial" w:hAnsi="Gilroy" w:cs="Arial"/>
          <w:lang w:val="es-AR"/>
        </w:rPr>
        <w:t xml:space="preserve">organizaciones </w:t>
      </w:r>
      <w:r w:rsidR="009D09D8">
        <w:rPr>
          <w:rFonts w:ascii="Gilroy" w:eastAsia="Arial" w:hAnsi="Gilroy" w:cs="Arial"/>
          <w:lang w:val="es-AR"/>
        </w:rPr>
        <w:t>saben</w:t>
      </w:r>
      <w:r w:rsidRPr="00585B02">
        <w:rPr>
          <w:rFonts w:ascii="Gilroy" w:eastAsia="Arial" w:hAnsi="Gilroy" w:cs="Arial"/>
          <w:lang w:val="es-AR"/>
        </w:rPr>
        <w:t xml:space="preserve"> que la confianza no es un valor aspiracional, sino una práctica diaria. Son</w:t>
      </w:r>
      <w:r w:rsidR="009D09D8">
        <w:rPr>
          <w:rFonts w:ascii="Gilroy" w:eastAsia="Arial" w:hAnsi="Gilroy" w:cs="Arial"/>
          <w:lang w:val="es-AR"/>
        </w:rPr>
        <w:t xml:space="preserve"> lugares para trabajar con</w:t>
      </w:r>
      <w:r w:rsidRPr="00585B02">
        <w:rPr>
          <w:rFonts w:ascii="Gilroy" w:eastAsia="Arial" w:hAnsi="Gilroy" w:cs="Arial"/>
          <w:lang w:val="es-AR"/>
        </w:rPr>
        <w:t xml:space="preserve"> culturas donde las personas pueden desarrollarse plenamente, innovar y generar resultados extraordinarios”, comentó Renán González, CEO de Great Place to Work® México, Caribe y Centroamérica.</w:t>
      </w:r>
    </w:p>
    <w:p w14:paraId="4ED7FC81" w14:textId="291FF50A" w:rsidR="00585B02" w:rsidRPr="009D09D8" w:rsidRDefault="009F3CDA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9D09D8">
        <w:rPr>
          <w:rFonts w:ascii="Gilroy" w:eastAsia="Arial" w:hAnsi="Gilroy" w:cs="Arial"/>
          <w:lang w:val="es-SV"/>
        </w:rPr>
        <w:t xml:space="preserve">Durante el período de evaluación </w:t>
      </w:r>
      <w:r w:rsidR="00585B02" w:rsidRPr="009D09D8">
        <w:rPr>
          <w:rFonts w:ascii="Gilroy" w:eastAsia="Arial" w:hAnsi="Gilroy" w:cs="Arial"/>
          <w:lang w:val="es-SV"/>
        </w:rPr>
        <w:t xml:space="preserve">2025, </w:t>
      </w:r>
      <w:r w:rsidR="009D09D8" w:rsidRPr="009D09D8">
        <w:rPr>
          <w:rFonts w:ascii="Gilroy" w:eastAsia="Arial" w:hAnsi="Gilroy" w:cs="Arial"/>
          <w:lang w:val="es-SV"/>
        </w:rPr>
        <w:t>el estudio</w:t>
      </w:r>
      <w:r w:rsidR="00585B02" w:rsidRPr="009D09D8">
        <w:rPr>
          <w:rFonts w:ascii="Gilroy" w:eastAsia="Arial" w:hAnsi="Gilroy" w:cs="Arial"/>
          <w:lang w:val="es-SV"/>
        </w:rPr>
        <w:t xml:space="preserve"> </w:t>
      </w:r>
      <w:r w:rsidR="009D09D8" w:rsidRPr="009D09D8">
        <w:rPr>
          <w:rFonts w:ascii="Gilroy" w:eastAsia="Arial" w:hAnsi="Gilroy" w:cs="Arial"/>
          <w:lang w:val="es-SV"/>
        </w:rPr>
        <w:t>impactó</w:t>
      </w:r>
      <w:r w:rsidR="00585B02" w:rsidRPr="009D09D8">
        <w:rPr>
          <w:rFonts w:ascii="Gilroy" w:eastAsia="Arial" w:hAnsi="Gilroy" w:cs="Arial"/>
          <w:lang w:val="es-SV"/>
        </w:rPr>
        <w:t xml:space="preserve"> a más de 200,000 colaboradores que representan a más de 325 empleadores distribuidos en 16 países de la región. </w:t>
      </w:r>
      <w:r w:rsidR="009D09D8" w:rsidRPr="009D09D8">
        <w:rPr>
          <w:rFonts w:ascii="Gilroy" w:eastAsia="Arial" w:hAnsi="Gilroy" w:cs="Arial"/>
          <w:lang w:val="es-SV"/>
        </w:rPr>
        <w:t>Este año, además, marca un hito con l</w:t>
      </w:r>
      <w:r w:rsidR="00585B02" w:rsidRPr="009D09D8">
        <w:rPr>
          <w:rFonts w:ascii="Gilroy" w:eastAsia="Arial" w:hAnsi="Gilroy" w:cs="Arial"/>
          <w:lang w:val="es-SV"/>
        </w:rPr>
        <w:t>a incorporación, por primera vez, de organizaciones de Puerto Rico, consolida</w:t>
      </w:r>
      <w:r w:rsidR="009D09D8" w:rsidRPr="009D09D8">
        <w:rPr>
          <w:rFonts w:ascii="Gilroy" w:eastAsia="Arial" w:hAnsi="Gilroy" w:cs="Arial"/>
          <w:lang w:val="es-SV"/>
        </w:rPr>
        <w:t>ndo</w:t>
      </w:r>
      <w:r w:rsidR="00585B02" w:rsidRPr="009D09D8">
        <w:rPr>
          <w:rFonts w:ascii="Gilroy" w:eastAsia="Arial" w:hAnsi="Gilroy" w:cs="Arial"/>
          <w:lang w:val="es-SV"/>
        </w:rPr>
        <w:t xml:space="preserve"> una visión integral de la cultura laboral en la región y representa</w:t>
      </w:r>
      <w:r w:rsidR="009D09D8" w:rsidRPr="009D09D8">
        <w:rPr>
          <w:rFonts w:ascii="Gilroy" w:eastAsia="Arial" w:hAnsi="Gilroy" w:cs="Arial"/>
          <w:lang w:val="es-SV"/>
        </w:rPr>
        <w:t>ndo</w:t>
      </w:r>
      <w:r w:rsidR="00585B02" w:rsidRPr="009D09D8">
        <w:rPr>
          <w:rFonts w:ascii="Gilroy" w:eastAsia="Arial" w:hAnsi="Gilroy" w:cs="Arial"/>
          <w:lang w:val="es-SV"/>
        </w:rPr>
        <w:t xml:space="preserve"> un paso significativo en la expansión del modelo de Great Place to Work® en el Caribe.</w:t>
      </w:r>
    </w:p>
    <w:p w14:paraId="4EFEB455" w14:textId="1D6B4D75" w:rsidR="00585B02" w:rsidRPr="00585B02" w:rsidRDefault="009D09D8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>En este contexto</w:t>
      </w:r>
      <w:r w:rsidR="00585B02" w:rsidRPr="00585B02">
        <w:rPr>
          <w:rFonts w:ascii="Gilroy" w:eastAsia="Arial" w:hAnsi="Gilroy" w:cs="Arial"/>
          <w:lang w:val="es-SV"/>
        </w:rPr>
        <w:t xml:space="preserve">, </w:t>
      </w:r>
      <w:r w:rsidR="00585B02" w:rsidRPr="00585B02">
        <w:rPr>
          <w:rFonts w:ascii="Gilroy" w:eastAsia="Arial" w:hAnsi="Gilroy" w:cs="Arial"/>
          <w:b/>
          <w:bCs/>
          <w:lang w:val="es-SV"/>
        </w:rPr>
        <w:t>República Dominicana continúa posicionándose como referente regional</w:t>
      </w:r>
      <w:r w:rsidR="00585B02" w:rsidRPr="00585B02">
        <w:rPr>
          <w:rFonts w:ascii="Gilroy" w:eastAsia="Arial" w:hAnsi="Gilroy" w:cs="Arial"/>
          <w:lang w:val="es-SV"/>
        </w:rPr>
        <w:t xml:space="preserve">, alcanzando un </w:t>
      </w:r>
      <w:r w:rsidR="00585B02" w:rsidRPr="00585B02">
        <w:rPr>
          <w:rFonts w:ascii="Gilroy" w:eastAsia="Arial" w:hAnsi="Gilroy" w:cs="Arial"/>
          <w:b/>
          <w:bCs/>
          <w:lang w:val="es-SV"/>
        </w:rPr>
        <w:t>Trust Index™ promedio de 91%</w:t>
      </w:r>
      <w:r w:rsidR="00585B02" w:rsidRPr="00585B02">
        <w:rPr>
          <w:rFonts w:ascii="Gilroy" w:eastAsia="Arial" w:hAnsi="Gilroy" w:cs="Arial"/>
          <w:lang w:val="es-SV"/>
        </w:rPr>
        <w:t>, uno de los más altos del estudio, lo que evidencia entornos laborales altamente valorados por sus colaboradores y culturas organizacionales con fuerte sentido de pertenencia.</w:t>
      </w:r>
    </w:p>
    <w:p w14:paraId="1C59080F" w14:textId="30C972A4" w:rsidR="00585B02" w:rsidRPr="00585B02" w:rsidRDefault="00AC1398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>El informe también revela que</w:t>
      </w:r>
      <w:r w:rsidR="00585B02" w:rsidRPr="00585B02">
        <w:rPr>
          <w:rFonts w:ascii="Gilroy" w:eastAsia="Arial" w:hAnsi="Gilroy" w:cs="Arial"/>
          <w:lang w:val="es-SV"/>
        </w:rPr>
        <w:t xml:space="preserve"> las principales fortalezas de las organizaciones en el Caribe son Justicia, Orgullo y Trabajo en Equipo, mientras las oportunidades de mejora se encuentran en aspectos relacionados con la imparcialidad y equidad en el liderazgo.</w:t>
      </w:r>
    </w:p>
    <w:p w14:paraId="1E96DF7F" w14:textId="3B3FC7C2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585B02">
        <w:rPr>
          <w:rFonts w:ascii="Gilroy" w:eastAsia="Arial" w:hAnsi="Gilroy" w:cs="Arial"/>
          <w:lang w:val="es-SV"/>
        </w:rPr>
        <w:lastRenderedPageBreak/>
        <w:t>Estos hallazgos reflejan que, la región continúa avanzando hacia culturas más sólidas, comparables y alineadas en torno a la experiencia del colaborador, permitiendo visibilizar nuevas realidades organizacionales y elevar el estándar de lo que significa ser un gran lugar para trabajar en contextos diversos.</w:t>
      </w:r>
    </w:p>
    <w:p w14:paraId="1D08DFE2" w14:textId="20ACE5C6" w:rsidR="00585B02" w:rsidRPr="00585B02" w:rsidRDefault="009D09D8" w:rsidP="00585B02">
      <w:pPr>
        <w:spacing w:before="200" w:after="200"/>
        <w:jc w:val="both"/>
        <w:rPr>
          <w:rFonts w:ascii="Gilroy" w:eastAsia="Arial" w:hAnsi="Gilroy" w:cs="Arial"/>
          <w:b/>
          <w:bCs/>
          <w:u w:val="single"/>
          <w:lang w:val="es-SV"/>
        </w:rPr>
      </w:pPr>
      <w:r>
        <w:rPr>
          <w:rFonts w:ascii="Gilroy" w:eastAsia="Arial" w:hAnsi="Gilroy" w:cs="Arial"/>
          <w:b/>
          <w:bCs/>
          <w:u w:val="single"/>
          <w:lang w:val="es-SV"/>
        </w:rPr>
        <w:t>República Dominicana, epicentro del talento regional</w:t>
      </w:r>
    </w:p>
    <w:p w14:paraId="7A0456AF" w14:textId="394626C6" w:rsidR="00AC1398" w:rsidRDefault="00AC1398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 xml:space="preserve">La presentación oficial del </w:t>
      </w:r>
      <w:r w:rsidR="00CA4CE6">
        <w:rPr>
          <w:rFonts w:ascii="Gilroy" w:eastAsia="Arial" w:hAnsi="Gilroy" w:cs="Arial"/>
          <w:lang w:val="es-SV"/>
        </w:rPr>
        <w:t>listado</w:t>
      </w:r>
      <w:r>
        <w:rPr>
          <w:rFonts w:ascii="Gilroy" w:eastAsia="Arial" w:hAnsi="Gilroy" w:cs="Arial"/>
          <w:lang w:val="es-SV"/>
        </w:rPr>
        <w:t xml:space="preserve"> se realizó en República Dominicana, que repite como país anfitrión luego de la edición de</w:t>
      </w:r>
      <w:r w:rsidR="00CA4CE6">
        <w:rPr>
          <w:rFonts w:ascii="Gilroy" w:eastAsia="Arial" w:hAnsi="Gilroy" w:cs="Arial"/>
          <w:lang w:val="es-SV"/>
        </w:rPr>
        <w:t>l 2020</w:t>
      </w:r>
      <w:r>
        <w:rPr>
          <w:rFonts w:ascii="Gilroy" w:eastAsia="Arial" w:hAnsi="Gilroy" w:cs="Arial"/>
          <w:lang w:val="es-SV"/>
        </w:rPr>
        <w:t xml:space="preserve">, consolidándose como un </w:t>
      </w:r>
      <w:proofErr w:type="gramStart"/>
      <w:r>
        <w:rPr>
          <w:rFonts w:ascii="Gilroy" w:eastAsia="Arial" w:hAnsi="Gilroy" w:cs="Arial"/>
          <w:lang w:val="es-SV"/>
        </w:rPr>
        <w:t>hub</w:t>
      </w:r>
      <w:proofErr w:type="gramEnd"/>
      <w:r>
        <w:rPr>
          <w:rFonts w:ascii="Gilroy" w:eastAsia="Arial" w:hAnsi="Gilroy" w:cs="Arial"/>
          <w:lang w:val="es-SV"/>
        </w:rPr>
        <w:t xml:space="preserve"> regional en la promoción de buenas prácticas.</w:t>
      </w:r>
    </w:p>
    <w:p w14:paraId="61071D3B" w14:textId="6D6A989D" w:rsidR="00AC1398" w:rsidRDefault="00AC1398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>El evento contó</w:t>
      </w:r>
      <w:r w:rsidR="00585B02" w:rsidRPr="00585B02">
        <w:rPr>
          <w:rFonts w:ascii="Gilroy" w:eastAsia="Arial" w:hAnsi="Gilroy" w:cs="Arial"/>
          <w:lang w:val="es-SV"/>
        </w:rPr>
        <w:t xml:space="preserve"> con el respaldo de </w:t>
      </w:r>
      <w:r w:rsidR="00585B02" w:rsidRPr="00585B02">
        <w:rPr>
          <w:rFonts w:ascii="Gilroy" w:eastAsia="Arial" w:hAnsi="Gilroy" w:cs="Arial"/>
          <w:b/>
          <w:bCs/>
          <w:lang w:val="es-SV"/>
        </w:rPr>
        <w:t>Banco Popular Dominicano</w:t>
      </w:r>
      <w:r w:rsidR="00585B02" w:rsidRPr="00585B02">
        <w:rPr>
          <w:rFonts w:ascii="Gilroy" w:eastAsia="Arial" w:hAnsi="Gilroy" w:cs="Arial"/>
          <w:lang w:val="es-SV"/>
        </w:rPr>
        <w:t xml:space="preserve">, </w:t>
      </w:r>
      <w:r w:rsidR="00585B02" w:rsidRPr="00585B02">
        <w:rPr>
          <w:rFonts w:ascii="Gilroy" w:eastAsia="Arial" w:hAnsi="Gilroy" w:cs="Arial"/>
          <w:b/>
          <w:bCs/>
          <w:lang w:val="es-SV"/>
        </w:rPr>
        <w:t>Grupo SID</w:t>
      </w:r>
      <w:r w:rsidR="00585B02" w:rsidRPr="00585B02">
        <w:rPr>
          <w:rFonts w:ascii="Gilroy" w:eastAsia="Arial" w:hAnsi="Gilroy" w:cs="Arial"/>
          <w:lang w:val="es-SV"/>
        </w:rPr>
        <w:t xml:space="preserve"> y </w:t>
      </w:r>
      <w:r w:rsidR="00585B02" w:rsidRPr="00585B02">
        <w:rPr>
          <w:rFonts w:ascii="Gilroy" w:eastAsia="Arial" w:hAnsi="Gilroy" w:cs="Arial"/>
          <w:b/>
          <w:bCs/>
          <w:lang w:val="es-SV"/>
        </w:rPr>
        <w:t>Grupo Universal</w:t>
      </w:r>
      <w:r w:rsidR="00585B02" w:rsidRPr="00585B02">
        <w:rPr>
          <w:rFonts w:ascii="Gilroy" w:eastAsia="Arial" w:hAnsi="Gilroy" w:cs="Arial"/>
          <w:lang w:val="es-SV"/>
        </w:rPr>
        <w:t xml:space="preserve"> como aliados estratégicos, </w:t>
      </w:r>
      <w:r>
        <w:rPr>
          <w:rFonts w:ascii="Gilroy" w:eastAsia="Arial" w:hAnsi="Gilroy" w:cs="Arial"/>
          <w:lang w:val="es-SV"/>
        </w:rPr>
        <w:t>reafirmando</w:t>
      </w:r>
      <w:r w:rsidR="00585B02" w:rsidRPr="00585B02">
        <w:rPr>
          <w:rFonts w:ascii="Gilroy" w:eastAsia="Arial" w:hAnsi="Gilroy" w:cs="Arial"/>
          <w:lang w:val="es-SV"/>
        </w:rPr>
        <w:t xml:space="preserve"> su compromiso con el desarrollo del talento en la región, reforzando la importancia de impulsar culturas organizacionales sostenibles y centradas en las personas.</w:t>
      </w:r>
    </w:p>
    <w:p w14:paraId="7881A548" w14:textId="4D239F92" w:rsidR="00585B02" w:rsidRDefault="00AC1398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 xml:space="preserve">La agenda regional incluyó además un segundo evento en El Salvador, enfocado en las </w:t>
      </w:r>
      <w:r w:rsidR="00CA4CE6">
        <w:rPr>
          <w:rFonts w:ascii="Gilroy" w:eastAsia="Arial" w:hAnsi="Gilroy" w:cs="Arial"/>
          <w:lang w:val="es-SV"/>
        </w:rPr>
        <w:t>organizaciones</w:t>
      </w:r>
      <w:r>
        <w:rPr>
          <w:rFonts w:ascii="Gilroy" w:eastAsia="Arial" w:hAnsi="Gilroy" w:cs="Arial"/>
          <w:lang w:val="es-SV"/>
        </w:rPr>
        <w:t xml:space="preserve"> de Centroamérica.</w:t>
      </w:r>
      <w:r w:rsidR="00585B02" w:rsidRPr="00585B02">
        <w:rPr>
          <w:rFonts w:ascii="Gilroy" w:eastAsia="Arial" w:hAnsi="Gilroy" w:cs="Arial"/>
          <w:lang w:val="es-SV"/>
        </w:rPr>
        <w:t xml:space="preserve"> </w:t>
      </w:r>
    </w:p>
    <w:p w14:paraId="7409440C" w14:textId="7777777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</w:p>
    <w:p w14:paraId="20AEC69A" w14:textId="4DECD6F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b/>
          <w:bCs/>
          <w:u w:val="single"/>
          <w:lang w:val="es-SV"/>
        </w:rPr>
      </w:pPr>
      <w:r w:rsidRPr="00585B02">
        <w:rPr>
          <w:rFonts w:ascii="Gilroy" w:eastAsia="Arial" w:hAnsi="Gilroy" w:cs="Arial"/>
          <w:b/>
          <w:bCs/>
          <w:u w:val="single"/>
          <w:lang w:val="es-SV"/>
        </w:rPr>
        <w:t>Listado de Los Mejores Lugares para Trabajar</w:t>
      </w:r>
      <w:r w:rsidR="00CA4CE6">
        <w:rPr>
          <w:rFonts w:ascii="Gilroy" w:eastAsia="Arial" w:hAnsi="Gilroy" w:cs="Arial"/>
          <w:b/>
          <w:bCs/>
          <w:u w:val="single"/>
          <w:lang w:val="es-SV"/>
        </w:rPr>
        <w:t>®</w:t>
      </w:r>
      <w:r w:rsidRPr="00585B02">
        <w:rPr>
          <w:rFonts w:ascii="Gilroy" w:eastAsia="Arial" w:hAnsi="Gilroy" w:cs="Arial"/>
          <w:b/>
          <w:bCs/>
          <w:u w:val="single"/>
          <w:lang w:val="es-SV"/>
        </w:rPr>
        <w:t xml:space="preserve"> en República Dominicana 2026</w:t>
      </w:r>
    </w:p>
    <w:p w14:paraId="59290C57" w14:textId="77777777" w:rsidR="00AC1398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Casa de Campo Resort &amp; Villas</w:t>
      </w:r>
    </w:p>
    <w:p w14:paraId="261C99B4" w14:textId="760294F9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Hilton</w:t>
      </w:r>
    </w:p>
    <w:p w14:paraId="2227BDAC" w14:textId="5A06BA38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Asociación Popular de Ahorros y Préstamos (APAP)</w:t>
      </w:r>
    </w:p>
    <w:p w14:paraId="21A573CC" w14:textId="516B8BCC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GRUPO UNIVERSAL</w:t>
      </w:r>
    </w:p>
    <w:p w14:paraId="169BAF95" w14:textId="18E7B692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DP World</w:t>
      </w:r>
    </w:p>
    <w:p w14:paraId="40A48C44" w14:textId="396A0E80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GRUPO SID</w:t>
      </w:r>
    </w:p>
    <w:p w14:paraId="781510F8" w14:textId="04C388E8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Hyatt Hotels</w:t>
      </w:r>
    </w:p>
    <w:p w14:paraId="5AD673D3" w14:textId="55172251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BANCO POPULAR DOMINICANO</w:t>
      </w:r>
    </w:p>
    <w:p w14:paraId="50E3CF14" w14:textId="08BC1B40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Catalonia Hotels &amp; Resorts</w:t>
      </w:r>
    </w:p>
    <w:p w14:paraId="0637232C" w14:textId="41226BD4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Alpha</w:t>
      </w:r>
    </w:p>
    <w:p w14:paraId="70173045" w14:textId="1CC955E5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CEVALDOM, S.A.</w:t>
      </w:r>
    </w:p>
    <w:p w14:paraId="136F183A" w14:textId="04EE4DD8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DHL</w:t>
      </w:r>
    </w:p>
    <w:p w14:paraId="4A7DDD4C" w14:textId="2E5F61E3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PedidosYa</w:t>
      </w:r>
    </w:p>
    <w:p w14:paraId="50489839" w14:textId="3E36AD90" w:rsidR="00585B02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  <w:r w:rsidRPr="00AC1398">
        <w:rPr>
          <w:rFonts w:ascii="Gilroy" w:eastAsia="Arial" w:hAnsi="Gilroy" w:cs="Arial"/>
          <w:b/>
          <w:bCs/>
          <w:lang w:val="es-SV"/>
        </w:rPr>
        <w:t>Marriott International</w:t>
      </w:r>
    </w:p>
    <w:p w14:paraId="1452826F" w14:textId="55410451" w:rsidR="00585B02" w:rsidRPr="00AC1398" w:rsidRDefault="00AC1398" w:rsidP="00585B02">
      <w:pPr>
        <w:pStyle w:val="Prrafodelista"/>
        <w:numPr>
          <w:ilvl w:val="0"/>
          <w:numId w:val="25"/>
        </w:numPr>
        <w:spacing w:before="200" w:after="200"/>
        <w:jc w:val="both"/>
        <w:rPr>
          <w:rFonts w:ascii="Gilroy" w:eastAsia="Arial" w:hAnsi="Gilroy" w:cs="Arial"/>
          <w:b/>
          <w:bCs/>
          <w:lang w:val="en-US"/>
        </w:rPr>
      </w:pPr>
      <w:r w:rsidRPr="00AC1398">
        <w:rPr>
          <w:rFonts w:ascii="Gilroy" w:eastAsia="Arial" w:hAnsi="Gilroy" w:cs="Arial"/>
          <w:b/>
          <w:bCs/>
          <w:lang w:val="en-US"/>
        </w:rPr>
        <w:t>Scotia Global Business Services (Dominican Republic), S.A.S.</w:t>
      </w:r>
    </w:p>
    <w:p w14:paraId="2AF590FE" w14:textId="77777777" w:rsidR="00585B02" w:rsidRPr="00AC1398" w:rsidRDefault="00585B02" w:rsidP="00585B02">
      <w:pPr>
        <w:spacing w:before="200" w:after="200"/>
        <w:jc w:val="both"/>
        <w:rPr>
          <w:rFonts w:ascii="Gilroy" w:eastAsia="Arial" w:hAnsi="Gilroy" w:cs="Arial"/>
          <w:b/>
          <w:bCs/>
          <w:lang w:val="en-US"/>
        </w:rPr>
      </w:pPr>
    </w:p>
    <w:p w14:paraId="32417F94" w14:textId="7777777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b/>
          <w:bCs/>
          <w:lang w:val="en-US"/>
        </w:rPr>
      </w:pPr>
      <w:proofErr w:type="spellStart"/>
      <w:r w:rsidRPr="00585B02">
        <w:rPr>
          <w:rFonts w:ascii="Gilroy" w:eastAsia="Arial" w:hAnsi="Gilroy" w:cs="Arial"/>
          <w:b/>
          <w:bCs/>
          <w:lang w:val="en-US"/>
        </w:rPr>
        <w:t>Acerca</w:t>
      </w:r>
      <w:proofErr w:type="spellEnd"/>
      <w:r w:rsidRPr="00585B02">
        <w:rPr>
          <w:rFonts w:ascii="Gilroy" w:eastAsia="Arial" w:hAnsi="Gilroy" w:cs="Arial"/>
          <w:b/>
          <w:bCs/>
          <w:lang w:val="en-US"/>
        </w:rPr>
        <w:t xml:space="preserve"> de Great Place to Work®</w:t>
      </w:r>
    </w:p>
    <w:p w14:paraId="15C82CB5" w14:textId="7777777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585B02">
        <w:rPr>
          <w:rFonts w:ascii="Gilroy" w:eastAsia="Arial" w:hAnsi="Gilroy" w:cs="Arial"/>
          <w:lang w:val="es-ES"/>
        </w:rPr>
        <w:t xml:space="preserve">Great Place to Work® es la autoridad global sobre cultura del lugar de trabajo. Desde 1992 ha encuestado a más de 100 millones de empleados de todo el mundo y ha utilizado esas opiniones detalladas para definir qué hace que un lugar de trabajo sea excelente: la confianza. Great Place to Work® ayuda a las organizaciones a cuantificar su cultura y generar mejores </w:t>
      </w:r>
      <w:r w:rsidRPr="00585B02">
        <w:rPr>
          <w:rFonts w:ascii="Gilroy" w:eastAsia="Arial" w:hAnsi="Gilroy" w:cs="Arial"/>
          <w:lang w:val="es-ES"/>
        </w:rPr>
        <w:lastRenderedPageBreak/>
        <w:t xml:space="preserve">resultados de negocio mediante la creación de una experiencia laboral de gran confianza para todos los colaboradores. </w:t>
      </w:r>
    </w:p>
    <w:p w14:paraId="3B67CA5C" w14:textId="7777777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585B02">
        <w:rPr>
          <w:rFonts w:ascii="Gilroy" w:eastAsia="Arial" w:hAnsi="Gilroy" w:cs="Arial"/>
          <w:lang w:val="es-ES"/>
        </w:rPr>
        <w:t xml:space="preserve">Para conocer más detalles, visite </w:t>
      </w:r>
      <w:hyperlink r:id="rId10">
        <w:r w:rsidRPr="00585B02">
          <w:rPr>
            <w:rStyle w:val="Hipervnculo"/>
            <w:rFonts w:ascii="Gilroy" w:eastAsia="Arial" w:hAnsi="Gilroy" w:cs="Arial"/>
            <w:lang w:val="es-ES"/>
          </w:rPr>
          <w:t>greatplacetoworkcarca.com</w:t>
        </w:r>
      </w:hyperlink>
    </w:p>
    <w:p w14:paraId="17CB0484" w14:textId="77777777" w:rsidR="00585B02" w:rsidRPr="00585B02" w:rsidRDefault="00585B02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</w:p>
    <w:p w14:paraId="25345018" w14:textId="77777777" w:rsidR="00863C63" w:rsidRPr="00585B02" w:rsidRDefault="00863C63" w:rsidP="00585B02">
      <w:pPr>
        <w:spacing w:before="200" w:after="200"/>
        <w:jc w:val="both"/>
        <w:rPr>
          <w:rFonts w:ascii="Gilroy" w:eastAsia="Arial" w:hAnsi="Gilroy" w:cs="Arial"/>
          <w:lang w:val="es-SV"/>
        </w:rPr>
      </w:pPr>
    </w:p>
    <w:sectPr w:rsidR="00863C63" w:rsidRPr="00585B02" w:rsidSect="00E452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34" w:right="1332" w:bottom="1134" w:left="2410" w:header="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9AC6" w14:textId="77777777" w:rsidR="006C4F4F" w:rsidRDefault="006C4F4F" w:rsidP="003428AD">
      <w:r>
        <w:separator/>
      </w:r>
    </w:p>
  </w:endnote>
  <w:endnote w:type="continuationSeparator" w:id="0">
    <w:p w14:paraId="1BCDD8A7" w14:textId="77777777" w:rsidR="006C4F4F" w:rsidRDefault="006C4F4F" w:rsidP="003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Bold">
    <w:altName w:val="Calibri"/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32264972"/>
      <w:docPartObj>
        <w:docPartGallery w:val="Page Numbers (Bottom of Page)"/>
        <w:docPartUnique/>
      </w:docPartObj>
    </w:sdtPr>
    <w:sdtContent>
      <w:p w14:paraId="34A65D15" w14:textId="77777777" w:rsidR="00F2287F" w:rsidRDefault="00F2287F" w:rsidP="00D40D13">
        <w:pPr>
          <w:pStyle w:val="Piedepgina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921458012"/>
      <w:docPartObj>
        <w:docPartGallery w:val="Page Numbers (Bottom of Page)"/>
        <w:docPartUnique/>
      </w:docPartObj>
    </w:sdtPr>
    <w:sdtContent>
      <w:p w14:paraId="6D4DBD60" w14:textId="77777777" w:rsidR="007B665C" w:rsidRDefault="007B665C" w:rsidP="00F2287F">
        <w:pPr>
          <w:pStyle w:val="Piedepgina"/>
          <w:framePr w:wrap="none" w:vAnchor="text" w:hAnchor="margin" w:y="1"/>
          <w:ind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A670868" w14:textId="77777777" w:rsidR="00922A16" w:rsidRDefault="00922A16" w:rsidP="007B665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Cs w:val="15"/>
      </w:rPr>
      <w:id w:val="900633790"/>
      <w:docPartObj>
        <w:docPartGallery w:val="Page Numbers (Bottom of Page)"/>
        <w:docPartUnique/>
      </w:docPartObj>
    </w:sdtPr>
    <w:sdtContent>
      <w:p w14:paraId="301F47AD" w14:textId="77777777" w:rsidR="00F2287F" w:rsidRPr="00FF35E4" w:rsidRDefault="00F2287F" w:rsidP="008127AF">
        <w:pPr>
          <w:pStyle w:val="Piedepgina"/>
          <w:framePr w:w="862" w:h="495" w:hRule="exact" w:wrap="none" w:vAnchor="text" w:hAnchor="page" w:x="1037" w:y="-158"/>
          <w:rPr>
            <w:rStyle w:val="Nmerodepgina"/>
            <w:szCs w:val="15"/>
          </w:rPr>
        </w:pPr>
        <w:r w:rsidRPr="00FF35E4">
          <w:rPr>
            <w:rStyle w:val="Nmerodepgina"/>
            <w:szCs w:val="15"/>
          </w:rPr>
          <w:fldChar w:fldCharType="begin"/>
        </w:r>
        <w:r w:rsidRPr="00FF35E4">
          <w:rPr>
            <w:rStyle w:val="Nmerodepgina"/>
            <w:szCs w:val="15"/>
          </w:rPr>
          <w:instrText xml:space="preserve"> PAGE </w:instrText>
        </w:r>
        <w:r w:rsidRPr="00FF35E4">
          <w:rPr>
            <w:rStyle w:val="Nmerodepgina"/>
            <w:szCs w:val="15"/>
          </w:rPr>
          <w:fldChar w:fldCharType="separate"/>
        </w:r>
        <w:r w:rsidRPr="00FF35E4">
          <w:rPr>
            <w:rStyle w:val="Nmerodepgina"/>
            <w:noProof/>
            <w:szCs w:val="15"/>
          </w:rPr>
          <w:t>1</w:t>
        </w:r>
        <w:r w:rsidRPr="00FF35E4">
          <w:rPr>
            <w:rStyle w:val="Nmerodepgina"/>
            <w:szCs w:val="15"/>
          </w:rPr>
          <w:fldChar w:fldCharType="end"/>
        </w:r>
      </w:p>
    </w:sdtContent>
  </w:sdt>
  <w:p w14:paraId="12A09E5B" w14:textId="77777777" w:rsidR="00554B7B" w:rsidRPr="0064052D" w:rsidRDefault="00554B7B" w:rsidP="00EA5FB3">
    <w:pPr>
      <w:pStyle w:val="Piedepgina"/>
      <w:tabs>
        <w:tab w:val="clear" w:pos="4680"/>
        <w:tab w:val="center" w:pos="4320"/>
      </w:tabs>
      <w:ind w:firstLine="360"/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DA3A" w14:textId="77777777" w:rsidR="004A3084" w:rsidRDefault="004A3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D8E0" w14:textId="77777777" w:rsidR="006C4F4F" w:rsidRDefault="006C4F4F" w:rsidP="003428AD">
      <w:r>
        <w:separator/>
      </w:r>
    </w:p>
  </w:footnote>
  <w:footnote w:type="continuationSeparator" w:id="0">
    <w:p w14:paraId="41042220" w14:textId="77777777" w:rsidR="006C4F4F" w:rsidRDefault="006C4F4F" w:rsidP="0034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03C" w14:textId="77777777" w:rsidR="004A3084" w:rsidRDefault="004A3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5E0F" w14:textId="77777777" w:rsidR="004A3084" w:rsidRDefault="004A30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471" w14:textId="77777777" w:rsidR="00C944E5" w:rsidRDefault="006E15F6">
    <w:pPr>
      <w:pStyle w:val="Encabezado"/>
    </w:pPr>
    <w:r>
      <w:rPr>
        <w:noProof/>
      </w:rPr>
      <w:drawing>
        <wp:anchor distT="0" distB="0" distL="114300" distR="114300" simplePos="0" relativeHeight="251657214" behindDoc="1" locked="0" layoutInCell="1" allowOverlap="1" wp14:anchorId="5DD0D0AF" wp14:editId="2EE2A85C">
          <wp:simplePos x="0" y="0"/>
          <wp:positionH relativeFrom="column">
            <wp:posOffset>-1598408</wp:posOffset>
          </wp:positionH>
          <wp:positionV relativeFrom="paragraph">
            <wp:posOffset>203200</wp:posOffset>
          </wp:positionV>
          <wp:extent cx="1524000" cy="9975215"/>
          <wp:effectExtent l="0" t="0" r="0" b="0"/>
          <wp:wrapNone/>
          <wp:docPr id="2141634266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97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8B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569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C87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3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90BC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CDB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AE7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6F596"/>
    <w:lvl w:ilvl="0">
      <w:start w:val="1"/>
      <w:numFmt w:val="decimal"/>
      <w:pStyle w:val="Listaconnmeros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D3E0F4E"/>
    <w:lvl w:ilvl="0">
      <w:start w:val="1"/>
      <w:numFmt w:val="bullet"/>
      <w:pStyle w:val="Listaconvietas"/>
      <w:lvlText w:val="–"/>
      <w:lvlJc w:val="left"/>
      <w:pPr>
        <w:tabs>
          <w:tab w:val="num" w:pos="288"/>
        </w:tabs>
        <w:ind w:left="288" w:hanging="288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  <w14:numForm w14:val="default"/>
        <w14:numSpacing w14:val="default"/>
        <w14:stylisticSets/>
      </w:rPr>
    </w:lvl>
  </w:abstractNum>
  <w:abstractNum w:abstractNumId="10" w15:restartNumberingAfterBreak="0">
    <w:nsid w:val="22A01DDC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3F035B"/>
    <w:multiLevelType w:val="hybridMultilevel"/>
    <w:tmpl w:val="D45C8B16"/>
    <w:lvl w:ilvl="0" w:tplc="A5AC2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E7955"/>
    <w:multiLevelType w:val="hybridMultilevel"/>
    <w:tmpl w:val="E3781A88"/>
    <w:lvl w:ilvl="0" w:tplc="EE1C2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24952"/>
    <w:multiLevelType w:val="hybridMultilevel"/>
    <w:tmpl w:val="4514604A"/>
    <w:lvl w:ilvl="0" w:tplc="6576DEB2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1CE6"/>
    <w:multiLevelType w:val="hybridMultilevel"/>
    <w:tmpl w:val="076611F8"/>
    <w:lvl w:ilvl="0" w:tplc="7EB68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55C8"/>
    <w:multiLevelType w:val="hybridMultilevel"/>
    <w:tmpl w:val="D8AE4E80"/>
    <w:lvl w:ilvl="0" w:tplc="BD76F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D0C0F"/>
    <w:multiLevelType w:val="hybridMultilevel"/>
    <w:tmpl w:val="90386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C12BF"/>
    <w:multiLevelType w:val="hybridMultilevel"/>
    <w:tmpl w:val="A162AE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340C7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0F55AD"/>
    <w:multiLevelType w:val="multilevel"/>
    <w:tmpl w:val="3ABEFA24"/>
    <w:styleLink w:val="CurrentList1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7935"/>
    <w:multiLevelType w:val="hybridMultilevel"/>
    <w:tmpl w:val="0C9C26DA"/>
    <w:lvl w:ilvl="0" w:tplc="7EB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11C"/>
    <w:multiLevelType w:val="hybridMultilevel"/>
    <w:tmpl w:val="780CBF78"/>
    <w:lvl w:ilvl="0" w:tplc="241A6B52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67DE0DB4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D44275C6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16A15"/>
    <w:multiLevelType w:val="hybridMultilevel"/>
    <w:tmpl w:val="2B5608A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FFFFFFFF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4190"/>
    <w:multiLevelType w:val="multilevel"/>
    <w:tmpl w:val="749A9238"/>
    <w:styleLink w:val="CurrentList2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06B1E"/>
    <w:multiLevelType w:val="hybridMultilevel"/>
    <w:tmpl w:val="425C316E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DE40C07A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24878">
    <w:abstractNumId w:val="13"/>
  </w:num>
  <w:num w:numId="2" w16cid:durableId="946160490">
    <w:abstractNumId w:val="24"/>
  </w:num>
  <w:num w:numId="3" w16cid:durableId="639072961">
    <w:abstractNumId w:val="19"/>
  </w:num>
  <w:num w:numId="4" w16cid:durableId="713846650">
    <w:abstractNumId w:val="21"/>
  </w:num>
  <w:num w:numId="5" w16cid:durableId="2138331723">
    <w:abstractNumId w:val="23"/>
  </w:num>
  <w:num w:numId="6" w16cid:durableId="1546140120">
    <w:abstractNumId w:val="18"/>
  </w:num>
  <w:num w:numId="7" w16cid:durableId="682322668">
    <w:abstractNumId w:val="10"/>
  </w:num>
  <w:num w:numId="8" w16cid:durableId="26804777">
    <w:abstractNumId w:val="22"/>
  </w:num>
  <w:num w:numId="9" w16cid:durableId="1928269330">
    <w:abstractNumId w:val="0"/>
  </w:num>
  <w:num w:numId="10" w16cid:durableId="1748727190">
    <w:abstractNumId w:val="1"/>
  </w:num>
  <w:num w:numId="11" w16cid:durableId="1501238445">
    <w:abstractNumId w:val="2"/>
  </w:num>
  <w:num w:numId="12" w16cid:durableId="1766615178">
    <w:abstractNumId w:val="3"/>
  </w:num>
  <w:num w:numId="13" w16cid:durableId="1084960352">
    <w:abstractNumId w:val="8"/>
  </w:num>
  <w:num w:numId="14" w16cid:durableId="1961761650">
    <w:abstractNumId w:val="4"/>
  </w:num>
  <w:num w:numId="15" w16cid:durableId="1551963495">
    <w:abstractNumId w:val="5"/>
  </w:num>
  <w:num w:numId="16" w16cid:durableId="1060320737">
    <w:abstractNumId w:val="6"/>
  </w:num>
  <w:num w:numId="17" w16cid:durableId="1444376027">
    <w:abstractNumId w:val="7"/>
  </w:num>
  <w:num w:numId="18" w16cid:durableId="441995285">
    <w:abstractNumId w:val="9"/>
  </w:num>
  <w:num w:numId="19" w16cid:durableId="1461412413">
    <w:abstractNumId w:val="9"/>
  </w:num>
  <w:num w:numId="20" w16cid:durableId="1745910384">
    <w:abstractNumId w:val="20"/>
  </w:num>
  <w:num w:numId="21" w16cid:durableId="1704864194">
    <w:abstractNumId w:val="14"/>
  </w:num>
  <w:num w:numId="22" w16cid:durableId="1956713403">
    <w:abstractNumId w:val="12"/>
  </w:num>
  <w:num w:numId="23" w16cid:durableId="978808407">
    <w:abstractNumId w:val="15"/>
  </w:num>
  <w:num w:numId="24" w16cid:durableId="1860075132">
    <w:abstractNumId w:val="11"/>
  </w:num>
  <w:num w:numId="25" w16cid:durableId="131363986">
    <w:abstractNumId w:val="17"/>
  </w:num>
  <w:num w:numId="26" w16cid:durableId="1734617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FF"/>
    <w:rsid w:val="00010679"/>
    <w:rsid w:val="00016C46"/>
    <w:rsid w:val="0002732C"/>
    <w:rsid w:val="0004565A"/>
    <w:rsid w:val="00072ECD"/>
    <w:rsid w:val="00076C72"/>
    <w:rsid w:val="000A6985"/>
    <w:rsid w:val="000B2BDA"/>
    <w:rsid w:val="000D60AC"/>
    <w:rsid w:val="000E36C5"/>
    <w:rsid w:val="000F06E1"/>
    <w:rsid w:val="00123DF3"/>
    <w:rsid w:val="00146E31"/>
    <w:rsid w:val="00183D57"/>
    <w:rsid w:val="00191D9F"/>
    <w:rsid w:val="001C10A4"/>
    <w:rsid w:val="00201A5F"/>
    <w:rsid w:val="002167DD"/>
    <w:rsid w:val="0024010E"/>
    <w:rsid w:val="00283F79"/>
    <w:rsid w:val="00291443"/>
    <w:rsid w:val="002D3144"/>
    <w:rsid w:val="0030159A"/>
    <w:rsid w:val="00316C53"/>
    <w:rsid w:val="0032082D"/>
    <w:rsid w:val="00331AFC"/>
    <w:rsid w:val="003428AD"/>
    <w:rsid w:val="00370928"/>
    <w:rsid w:val="003A3D82"/>
    <w:rsid w:val="003E3E73"/>
    <w:rsid w:val="004142E9"/>
    <w:rsid w:val="00435DCD"/>
    <w:rsid w:val="00481909"/>
    <w:rsid w:val="004A3084"/>
    <w:rsid w:val="004C1BEC"/>
    <w:rsid w:val="004C4E52"/>
    <w:rsid w:val="004F7CCF"/>
    <w:rsid w:val="005175ED"/>
    <w:rsid w:val="00554B7B"/>
    <w:rsid w:val="00585B02"/>
    <w:rsid w:val="005F213B"/>
    <w:rsid w:val="00633C1A"/>
    <w:rsid w:val="0064052D"/>
    <w:rsid w:val="00674637"/>
    <w:rsid w:val="00676338"/>
    <w:rsid w:val="006B290F"/>
    <w:rsid w:val="006B4402"/>
    <w:rsid w:val="006C4F4F"/>
    <w:rsid w:val="006D0171"/>
    <w:rsid w:val="006E15F6"/>
    <w:rsid w:val="006F27C4"/>
    <w:rsid w:val="006F753C"/>
    <w:rsid w:val="0071537E"/>
    <w:rsid w:val="007334F7"/>
    <w:rsid w:val="00735635"/>
    <w:rsid w:val="00753316"/>
    <w:rsid w:val="00754F65"/>
    <w:rsid w:val="00763F51"/>
    <w:rsid w:val="00772539"/>
    <w:rsid w:val="00783F14"/>
    <w:rsid w:val="007A0BB8"/>
    <w:rsid w:val="007B665C"/>
    <w:rsid w:val="007E117E"/>
    <w:rsid w:val="008127AF"/>
    <w:rsid w:val="00831378"/>
    <w:rsid w:val="00863C63"/>
    <w:rsid w:val="00884269"/>
    <w:rsid w:val="0088552C"/>
    <w:rsid w:val="008A2CD1"/>
    <w:rsid w:val="008D15BA"/>
    <w:rsid w:val="008E21C6"/>
    <w:rsid w:val="009014AD"/>
    <w:rsid w:val="00922A16"/>
    <w:rsid w:val="009477FE"/>
    <w:rsid w:val="0095145F"/>
    <w:rsid w:val="0095631C"/>
    <w:rsid w:val="0098016D"/>
    <w:rsid w:val="00993CB2"/>
    <w:rsid w:val="0099460E"/>
    <w:rsid w:val="009A013C"/>
    <w:rsid w:val="009C246A"/>
    <w:rsid w:val="009D09D8"/>
    <w:rsid w:val="009F3CDA"/>
    <w:rsid w:val="00A471F6"/>
    <w:rsid w:val="00A66173"/>
    <w:rsid w:val="00A75C4D"/>
    <w:rsid w:val="00A8301E"/>
    <w:rsid w:val="00A93C3C"/>
    <w:rsid w:val="00A97BFF"/>
    <w:rsid w:val="00AB6477"/>
    <w:rsid w:val="00AC1398"/>
    <w:rsid w:val="00AD4AD5"/>
    <w:rsid w:val="00AE3309"/>
    <w:rsid w:val="00B04DAF"/>
    <w:rsid w:val="00B30F9F"/>
    <w:rsid w:val="00B43376"/>
    <w:rsid w:val="00B56D6D"/>
    <w:rsid w:val="00B664A2"/>
    <w:rsid w:val="00C944E5"/>
    <w:rsid w:val="00C979DB"/>
    <w:rsid w:val="00CA3E91"/>
    <w:rsid w:val="00CA4CE6"/>
    <w:rsid w:val="00CD4263"/>
    <w:rsid w:val="00CE46ED"/>
    <w:rsid w:val="00D054CE"/>
    <w:rsid w:val="00D068C4"/>
    <w:rsid w:val="00D225C2"/>
    <w:rsid w:val="00D52105"/>
    <w:rsid w:val="00D65EB1"/>
    <w:rsid w:val="00D76233"/>
    <w:rsid w:val="00DA0DBC"/>
    <w:rsid w:val="00DE4B2A"/>
    <w:rsid w:val="00E062C4"/>
    <w:rsid w:val="00E179C8"/>
    <w:rsid w:val="00E22084"/>
    <w:rsid w:val="00E2580C"/>
    <w:rsid w:val="00E45225"/>
    <w:rsid w:val="00E479FE"/>
    <w:rsid w:val="00EA1962"/>
    <w:rsid w:val="00EA5FB3"/>
    <w:rsid w:val="00EB3B73"/>
    <w:rsid w:val="00EE194E"/>
    <w:rsid w:val="00EF2117"/>
    <w:rsid w:val="00F01832"/>
    <w:rsid w:val="00F148CE"/>
    <w:rsid w:val="00F2276A"/>
    <w:rsid w:val="00F2287F"/>
    <w:rsid w:val="00F24100"/>
    <w:rsid w:val="00F31E79"/>
    <w:rsid w:val="00F34CFD"/>
    <w:rsid w:val="00F9368E"/>
    <w:rsid w:val="00F93B8F"/>
    <w:rsid w:val="00F95FA9"/>
    <w:rsid w:val="00FA4842"/>
    <w:rsid w:val="00FB4A65"/>
    <w:rsid w:val="00FC301A"/>
    <w:rsid w:val="00FD5A12"/>
    <w:rsid w:val="00FE2E99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969E2"/>
  <w15:chartTrackingRefBased/>
  <w15:docId w15:val="{46B4E83F-A7E8-EE42-9178-F401FDD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FF"/>
    <w:rPr>
      <w:lang w:val="es-ES_tradnl"/>
    </w:rPr>
  </w:style>
  <w:style w:type="paragraph" w:styleId="Ttulo1">
    <w:name w:val="heading 1"/>
    <w:next w:val="Normal"/>
    <w:link w:val="Ttulo1Car"/>
    <w:autoRedefine/>
    <w:uiPriority w:val="9"/>
    <w:qFormat/>
    <w:rsid w:val="00123DF3"/>
    <w:pPr>
      <w:keepNext/>
      <w:keepLines/>
      <w:suppressAutoHyphens/>
      <w:spacing w:before="240" w:after="240" w:line="340" w:lineRule="exact"/>
      <w:outlineLvl w:val="0"/>
    </w:pPr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123DF3"/>
    <w:pPr>
      <w:keepNext/>
      <w:keepLines/>
      <w:spacing w:before="240" w:after="120" w:line="260" w:lineRule="exact"/>
      <w:outlineLvl w:val="1"/>
    </w:pPr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123DF3"/>
    <w:pPr>
      <w:spacing w:before="40" w:after="0"/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E2E99"/>
    <w:pPr>
      <w:keepNext/>
      <w:keepLines/>
      <w:suppressAutoHyphens/>
      <w:spacing w:before="40" w:line="300" w:lineRule="exact"/>
      <w:outlineLvl w:val="3"/>
    </w:pPr>
    <w:rPr>
      <w:rFonts w:asciiTheme="majorHAnsi" w:eastAsiaTheme="majorEastAsia" w:hAnsiTheme="majorHAnsi" w:cstheme="majorBidi"/>
      <w:i/>
      <w:iCs/>
      <w:color w:val="FF1628" w:themeColor="accent1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FE2E99"/>
    <w:rPr>
      <w:rFonts w:asciiTheme="majorHAnsi" w:eastAsiaTheme="majorEastAsia" w:hAnsiTheme="majorHAnsi" w:cstheme="majorBidi"/>
      <w:i/>
      <w:iCs/>
      <w:color w:val="FF1628" w:themeColor="accen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AB6477"/>
    <w:pPr>
      <w:tabs>
        <w:tab w:val="center" w:pos="4680"/>
        <w:tab w:val="right" w:pos="9360"/>
      </w:tabs>
      <w:suppressAutoHyphens/>
    </w:pPr>
    <w:rPr>
      <w:rFonts w:eastAsiaTheme="minorEastAsia"/>
      <w:sz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E2E99"/>
    <w:pPr>
      <w:tabs>
        <w:tab w:val="center" w:pos="4680"/>
        <w:tab w:val="right" w:pos="9360"/>
      </w:tabs>
      <w:suppressAutoHyphens/>
      <w:spacing w:before="160" w:after="160" w:line="300" w:lineRule="exact"/>
    </w:pPr>
    <w:rPr>
      <w:rFonts w:eastAsiaTheme="minorEastAsia"/>
      <w:color w:val="879399" w:themeColor="accent4"/>
      <w:sz w:val="15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E99"/>
    <w:rPr>
      <w:color w:val="879399" w:themeColor="accent4"/>
      <w:sz w:val="15"/>
    </w:rPr>
  </w:style>
  <w:style w:type="character" w:customStyle="1" w:styleId="Ttulo3Car">
    <w:name w:val="Título 3 Car"/>
    <w:basedOn w:val="Fuentedeprrafopredeter"/>
    <w:link w:val="Ttulo3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2"/>
      <w:szCs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AB6477"/>
    <w:rPr>
      <w:sz w:val="18"/>
    </w:rPr>
  </w:style>
  <w:style w:type="character" w:styleId="Fuerte">
    <w:name w:val="Strong"/>
    <w:basedOn w:val="Fuentedeprrafopredeter"/>
    <w:uiPriority w:val="22"/>
    <w:qFormat/>
    <w:rsid w:val="002D314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FF35E4"/>
    <w:pPr>
      <w:numPr>
        <w:ilvl w:val="1"/>
      </w:numPr>
      <w:suppressAutoHyphens/>
      <w:spacing w:before="160" w:after="200" w:line="240" w:lineRule="exact"/>
    </w:pPr>
    <w:rPr>
      <w:rFonts w:eastAsiaTheme="minorEastAsia" w:cs="Times New Roman (Body CS)"/>
      <w:color w:val="879399" w:themeColor="accent4"/>
      <w:sz w:val="20"/>
      <w:szCs w:val="22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35E4"/>
    <w:rPr>
      <w:rFonts w:eastAsiaTheme="minorEastAsia" w:cs="Times New Roman (Body CS)"/>
      <w:color w:val="879399" w:themeColor="accent4"/>
      <w:sz w:val="20"/>
      <w:szCs w:val="22"/>
    </w:rPr>
  </w:style>
  <w:style w:type="character" w:styleId="nfasissutil">
    <w:name w:val="Subtle Emphasis"/>
    <w:basedOn w:val="Fuentedeprrafopredeter"/>
    <w:uiPriority w:val="19"/>
    <w:rsid w:val="008127AF"/>
    <w:rPr>
      <w:rFonts w:asciiTheme="minorHAnsi" w:hAnsiTheme="minorHAnsi"/>
      <w:i/>
      <w:iCs/>
      <w:color w:val="11131C" w:themeColor="text1"/>
      <w:sz w:val="22"/>
    </w:rPr>
  </w:style>
  <w:style w:type="character" w:styleId="nfasis">
    <w:name w:val="Emphasis"/>
    <w:basedOn w:val="Fuentedeprrafopredeter"/>
    <w:uiPriority w:val="20"/>
    <w:qFormat/>
    <w:rsid w:val="004142E9"/>
    <w:rPr>
      <w:i/>
      <w:iCs/>
    </w:rPr>
  </w:style>
  <w:style w:type="paragraph" w:styleId="Listaconnmeros">
    <w:name w:val="List Number"/>
    <w:basedOn w:val="Normal"/>
    <w:autoRedefine/>
    <w:uiPriority w:val="99"/>
    <w:unhideWhenUsed/>
    <w:qFormat/>
    <w:rsid w:val="00FF35E4"/>
    <w:pPr>
      <w:numPr>
        <w:numId w:val="13"/>
      </w:numPr>
      <w:suppressAutoHyphens/>
      <w:spacing w:before="160" w:after="160" w:line="320" w:lineRule="exact"/>
      <w:contextualSpacing/>
    </w:pPr>
    <w:rPr>
      <w:rFonts w:eastAsiaTheme="minorEastAsia"/>
      <w:sz w:val="22"/>
      <w:lang w:val="en-US"/>
    </w:rPr>
  </w:style>
  <w:style w:type="numbering" w:customStyle="1" w:styleId="CurrentList1">
    <w:name w:val="Current List1"/>
    <w:uiPriority w:val="99"/>
    <w:rsid w:val="00676338"/>
    <w:pPr>
      <w:numPr>
        <w:numId w:val="3"/>
      </w:numPr>
    </w:pPr>
  </w:style>
  <w:style w:type="numbering" w:customStyle="1" w:styleId="CurrentList2">
    <w:name w:val="Current List2"/>
    <w:uiPriority w:val="99"/>
    <w:rsid w:val="00676338"/>
    <w:pPr>
      <w:numPr>
        <w:numId w:val="5"/>
      </w:numPr>
    </w:pPr>
  </w:style>
  <w:style w:type="character" w:styleId="Nmerodepgina">
    <w:name w:val="page number"/>
    <w:basedOn w:val="Fuentedeprrafopredeter"/>
    <w:uiPriority w:val="99"/>
    <w:semiHidden/>
    <w:unhideWhenUsed/>
    <w:rsid w:val="00922A16"/>
  </w:style>
  <w:style w:type="numbering" w:customStyle="1" w:styleId="CurrentList3">
    <w:name w:val="Current List3"/>
    <w:uiPriority w:val="99"/>
    <w:rsid w:val="0064052D"/>
    <w:pPr>
      <w:numPr>
        <w:numId w:val="6"/>
      </w:numPr>
    </w:pPr>
  </w:style>
  <w:style w:type="numbering" w:customStyle="1" w:styleId="CurrentList4">
    <w:name w:val="Current List4"/>
    <w:uiPriority w:val="99"/>
    <w:rsid w:val="0064052D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283F79"/>
    <w:rPr>
      <w:color w:val="FF162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F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83F79"/>
    <w:rPr>
      <w:color w:val="FF404E" w:themeColor="followedHyperlink"/>
      <w:u w:val="single"/>
    </w:rPr>
  </w:style>
  <w:style w:type="paragraph" w:styleId="Listaconvietas">
    <w:name w:val="List Bullet"/>
    <w:basedOn w:val="Normal"/>
    <w:autoRedefine/>
    <w:uiPriority w:val="99"/>
    <w:unhideWhenUsed/>
    <w:qFormat/>
    <w:rsid w:val="00123DF3"/>
    <w:pPr>
      <w:numPr>
        <w:numId w:val="19"/>
      </w:numPr>
      <w:suppressAutoHyphens/>
      <w:spacing w:before="200" w:after="200" w:line="320" w:lineRule="exact"/>
      <w:contextualSpacing/>
    </w:pPr>
    <w:rPr>
      <w:rFonts w:eastAsiaTheme="minorEastAsia"/>
      <w:sz w:val="22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54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rsid w:val="0086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reatplacetoworkcarca.com/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ptw_2022">
  <a:themeElements>
    <a:clrScheme name="GPTW 2022">
      <a:dk1>
        <a:srgbClr val="11131C"/>
      </a:dk1>
      <a:lt1>
        <a:srgbClr val="FFFFFF"/>
      </a:lt1>
      <a:dk2>
        <a:srgbClr val="11131C"/>
      </a:dk2>
      <a:lt2>
        <a:srgbClr val="F5F8F6"/>
      </a:lt2>
      <a:accent1>
        <a:srgbClr val="FF1628"/>
      </a:accent1>
      <a:accent2>
        <a:srgbClr val="262C33"/>
      </a:accent2>
      <a:accent3>
        <a:srgbClr val="515C63"/>
      </a:accent3>
      <a:accent4>
        <a:srgbClr val="879399"/>
      </a:accent4>
      <a:accent5>
        <a:srgbClr val="A2AFB2"/>
      </a:accent5>
      <a:accent6>
        <a:srgbClr val="C2CCCC"/>
      </a:accent6>
      <a:hlink>
        <a:srgbClr val="FF1628"/>
      </a:hlink>
      <a:folHlink>
        <a:srgbClr val="FF404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ptw_2022" id="{46B59EBC-5770-974B-BADD-563B6E5BEEEB}" vid="{50DF04C1-43A0-4549-A686-D83C3484C1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09f22-30b8-453f-9bb0-f8bec2b875bc">
      <Terms xmlns="http://schemas.microsoft.com/office/infopath/2007/PartnerControls"/>
    </lcf76f155ced4ddcb4097134ff3c332f>
    <TaxCatchAll xmlns="9ba40518-0a9b-44c8-a888-bdc23036c7ce" xsi:nil="true"/>
    <Status xmlns="80909f22-30b8-453f-9bb0-f8bec2b875bc">Done</Status>
    <Image xmlns="80909f22-30b8-453f-9bb0-f8bec2b875bc">
      <Url xsi:nil="true"/>
      <Description xsi:nil="true"/>
    </Image>
    <CountryNotes xmlns="80909f22-30b8-453f-9bb0-f8bec2b875bc" xsi:nil="true"/>
    <NotesonListData xmlns="80909f22-30b8-453f-9bb0-f8bec2b875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FD49F0A5C4444A4A7F818E1F6E74D" ma:contentTypeVersion="22" ma:contentTypeDescription="Crear nuevo documento." ma:contentTypeScope="" ma:versionID="aa971ce0970951b37869993f4194f81f">
  <xsd:schema xmlns:xsd="http://www.w3.org/2001/XMLSchema" xmlns:xs="http://www.w3.org/2001/XMLSchema" xmlns:p="http://schemas.microsoft.com/office/2006/metadata/properties" xmlns:ns2="80909f22-30b8-453f-9bb0-f8bec2b875bc" xmlns:ns3="9ba40518-0a9b-44c8-a888-bdc23036c7ce" targetNamespace="http://schemas.microsoft.com/office/2006/metadata/properties" ma:root="true" ma:fieldsID="25f6ab8c3e1413df504aa9a85d803f1a" ns2:_="" ns3:_="">
    <xsd:import namespace="80909f22-30b8-453f-9bb0-f8bec2b875bc"/>
    <xsd:import namespace="9ba40518-0a9b-44c8-a888-bdc23036c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mage" minOccurs="0"/>
                <xsd:element ref="ns2:MediaLengthInSeconds" minOccurs="0"/>
                <xsd:element ref="ns2:CountryNote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SearchProperties" minOccurs="0"/>
                <xsd:element ref="ns2:MediaServiceObjectDetectorVersions" minOccurs="0"/>
                <xsd:element ref="ns2:NotesonList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9f22-30b8-453f-9bb0-f8bec2b8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untryNotes" ma:index="22" nillable="true" ma:displayName="Notes" ma:format="Dropdown" ma:internalName="Country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50d09bf-760d-4df0-b0aa-c9c90292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6" nillable="true" ma:displayName="Status" ma:default="Done" ma:format="Dropdown" ma:internalName="Statu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onListData" ma:index="29" nillable="true" ma:displayName="Notes on List Data" ma:format="Dropdown" ma:internalName="NotesonListDat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0518-0a9b-44c8-a888-bdc23036c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9200f7-5fdf-4c73-9289-01c118c27e8e}" ma:internalName="TaxCatchAll" ma:showField="CatchAllData" ma:web="9ba40518-0a9b-44c8-a888-bdc23036c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A2462-1061-4B70-B0B0-59E673E51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D9230-46CC-4E66-A0CB-0E32C79AC003}">
  <ds:schemaRefs>
    <ds:schemaRef ds:uri="http://schemas.microsoft.com/office/2006/metadata/properties"/>
    <ds:schemaRef ds:uri="http://schemas.microsoft.com/office/infopath/2007/PartnerControls"/>
    <ds:schemaRef ds:uri="80909f22-30b8-453f-9bb0-f8bec2b875bc"/>
    <ds:schemaRef ds:uri="9ba40518-0a9b-44c8-a888-bdc23036c7ce"/>
  </ds:schemaRefs>
</ds:datastoreItem>
</file>

<file path=customXml/itemProps3.xml><?xml version="1.0" encoding="utf-8"?>
<ds:datastoreItem xmlns:ds="http://schemas.openxmlformats.org/officeDocument/2006/customXml" ds:itemID="{9661F276-EECF-41FB-91A9-E87B9D28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09f22-30b8-453f-9bb0-f8bec2b875bc"/>
    <ds:schemaRef ds:uri="9ba40518-0a9b-44c8-a888-bdc23036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Great Place To Work</Company>
  <LinksUpToDate>false</LinksUpToDate>
  <CharactersWithSpaces>4532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Luisana Perez Gayon</dc:creator>
  <cp:keywords/>
  <dc:description/>
  <cp:lastModifiedBy>Karina Diaz</cp:lastModifiedBy>
  <cp:revision>2</cp:revision>
  <cp:lastPrinted>2022-07-25T19:06:00Z</cp:lastPrinted>
  <dcterms:created xsi:type="dcterms:W3CDTF">2026-04-30T17:01:00Z</dcterms:created>
  <dcterms:modified xsi:type="dcterms:W3CDTF">2026-04-30T17:01:00Z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0x010100520FD49F0A5C4444A4A7F818E1F6E74D</vt:lpwstr>
  </property>
  <property fmtid="{D5CDD505-2E9C-101B-9397-08002B2CF9AE}" pid="3" name="MediaServiceImageTags">
    <vt:lpwstr/>
  </property>
</Properties>
</file>